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Pr="000D384C" w:rsidRDefault="009D19A0">
      <w:pPr>
        <w:rPr>
          <w:sz w:val="28"/>
        </w:rPr>
      </w:pPr>
      <w:r w:rsidRPr="000D384C">
        <w:rPr>
          <w:sz w:val="28"/>
        </w:rPr>
        <w:t>Chapter 13 – Managing Aggregate Demand: Monetary Policy</w:t>
      </w:r>
    </w:p>
    <w:p w:rsidR="009D19A0" w:rsidRDefault="009D19A0"/>
    <w:p w:rsidR="009D19A0" w:rsidRDefault="009D19A0">
      <w:pPr>
        <w:rPr>
          <w:b/>
        </w:rPr>
      </w:pPr>
      <w:r>
        <w:rPr>
          <w:b/>
        </w:rPr>
        <w:t>Money and Income: The Important Difference</w:t>
      </w:r>
    </w:p>
    <w:p w:rsidR="009D19A0" w:rsidRDefault="009D19A0"/>
    <w:p w:rsidR="009D19A0" w:rsidRDefault="007D4D23" w:rsidP="009D19A0">
      <w:pPr>
        <w:pStyle w:val="ListParagraph"/>
        <w:numPr>
          <w:ilvl w:val="0"/>
          <w:numId w:val="1"/>
        </w:numPr>
      </w:pPr>
      <w:r>
        <w:t>Money is stock (how much you have at a specific time)</w:t>
      </w:r>
    </w:p>
    <w:p w:rsidR="00000000" w:rsidRPr="000D384C" w:rsidRDefault="000A049F" w:rsidP="000D384C">
      <w:pPr>
        <w:pStyle w:val="ListParagraph"/>
        <w:numPr>
          <w:ilvl w:val="1"/>
          <w:numId w:val="1"/>
        </w:numPr>
      </w:pPr>
      <w:r w:rsidRPr="000D384C">
        <w:rPr>
          <w:lang w:val="en-US"/>
        </w:rPr>
        <w:t>Stock of money influences the rate at which people earn income.</w:t>
      </w:r>
    </w:p>
    <w:p w:rsidR="000D384C" w:rsidRDefault="000A049F" w:rsidP="000D384C">
      <w:pPr>
        <w:pStyle w:val="ListParagraph"/>
        <w:numPr>
          <w:ilvl w:val="1"/>
          <w:numId w:val="1"/>
        </w:numPr>
      </w:pPr>
      <w:r w:rsidRPr="000D384C">
        <w:rPr>
          <w:lang w:val="en-US"/>
        </w:rPr>
        <w:t>Money affects GDP.</w:t>
      </w:r>
      <w:r w:rsidRPr="000D384C">
        <w:rPr>
          <w:b/>
          <w:bCs/>
        </w:rPr>
        <w:t xml:space="preserve"> </w:t>
      </w:r>
    </w:p>
    <w:p w:rsidR="007D4D23" w:rsidRDefault="007D4D23" w:rsidP="009D19A0">
      <w:pPr>
        <w:pStyle w:val="ListParagraph"/>
        <w:numPr>
          <w:ilvl w:val="0"/>
          <w:numId w:val="1"/>
        </w:numPr>
      </w:pPr>
      <w:r>
        <w:t>Income is flow (how much you have over a period of time)</w:t>
      </w:r>
    </w:p>
    <w:p w:rsidR="007D4D23" w:rsidRDefault="007D4D23" w:rsidP="009D19A0">
      <w:pPr>
        <w:pStyle w:val="ListParagraph"/>
        <w:numPr>
          <w:ilvl w:val="0"/>
          <w:numId w:val="1"/>
        </w:numPr>
      </w:pPr>
      <w:r>
        <w:t>Monetary Policy: refers to actions that the Bank of Canada takes to affect the macroeconomic performance of the economy.</w:t>
      </w:r>
    </w:p>
    <w:p w:rsidR="007D4D23" w:rsidRDefault="007D4D23" w:rsidP="007D4D23"/>
    <w:p w:rsidR="007D4D23" w:rsidRDefault="007D4D23" w:rsidP="007D4D23">
      <w:r>
        <w:rPr>
          <w:b/>
        </w:rPr>
        <w:t xml:space="preserve">Canada’s Central Bank: </w:t>
      </w:r>
      <w:proofErr w:type="gramStart"/>
      <w:r>
        <w:rPr>
          <w:b/>
        </w:rPr>
        <w:t>The</w:t>
      </w:r>
      <w:proofErr w:type="gramEnd"/>
      <w:r>
        <w:rPr>
          <w:b/>
        </w:rPr>
        <w:t xml:space="preserve"> Bank of Canada</w:t>
      </w:r>
    </w:p>
    <w:p w:rsidR="007D4D23" w:rsidRDefault="007D4D23" w:rsidP="007D4D23"/>
    <w:p w:rsidR="007D4D23" w:rsidRDefault="007D4D23" w:rsidP="007D4D23">
      <w:pPr>
        <w:pStyle w:val="ListParagraph"/>
        <w:numPr>
          <w:ilvl w:val="0"/>
          <w:numId w:val="1"/>
        </w:numPr>
      </w:pPr>
      <w:r>
        <w:t>Central Bank: A bank for banks. The BOC is Canada’s central bank and hence acts as Canada’s monetary authority</w:t>
      </w:r>
    </w:p>
    <w:p w:rsidR="007D4D23" w:rsidRDefault="007D4D23" w:rsidP="007D4D23"/>
    <w:p w:rsidR="007D4D23" w:rsidRDefault="007D4D23" w:rsidP="007D4D23">
      <w:r>
        <w:rPr>
          <w:i/>
        </w:rPr>
        <w:t>Origins and Structure</w:t>
      </w:r>
    </w:p>
    <w:p w:rsidR="007D4D23" w:rsidRDefault="007D4D23" w:rsidP="007D4D23">
      <w:pPr>
        <w:pStyle w:val="ListParagraph"/>
        <w:numPr>
          <w:ilvl w:val="0"/>
          <w:numId w:val="1"/>
        </w:numPr>
      </w:pPr>
      <w:r>
        <w:t xml:space="preserve">Bank of Canada Act </w:t>
      </w:r>
      <w:r>
        <w:sym w:font="Wingdings" w:char="F0E0"/>
      </w:r>
      <w:r>
        <w:t xml:space="preserve"> July 1934 established BOC</w:t>
      </w:r>
    </w:p>
    <w:p w:rsidR="007D4D23" w:rsidRDefault="007D4D23" w:rsidP="007D4D23">
      <w:pPr>
        <w:pStyle w:val="ListParagraph"/>
        <w:numPr>
          <w:ilvl w:val="1"/>
          <w:numId w:val="1"/>
        </w:numPr>
      </w:pPr>
      <w:r>
        <w:t>Publicly owned Crown Corporation</w:t>
      </w:r>
      <w:r w:rsidR="000D384C">
        <w:t xml:space="preserve"> in 1938</w:t>
      </w:r>
    </w:p>
    <w:p w:rsidR="007D4D23" w:rsidRDefault="007D4D23" w:rsidP="007D4D23">
      <w:pPr>
        <w:pStyle w:val="ListParagraph"/>
        <w:numPr>
          <w:ilvl w:val="0"/>
          <w:numId w:val="1"/>
        </w:numPr>
      </w:pPr>
      <w:r>
        <w:t>Managed by a board of directors</w:t>
      </w:r>
    </w:p>
    <w:p w:rsidR="007D4D23" w:rsidRDefault="007D4D23" w:rsidP="007D4D23">
      <w:pPr>
        <w:pStyle w:val="ListParagraph"/>
        <w:numPr>
          <w:ilvl w:val="1"/>
          <w:numId w:val="1"/>
        </w:numPr>
      </w:pPr>
      <w:r>
        <w:t>Comprises of 12 directors from outside the Bank who are appointed for a three-year term by the minister of Finance on the bases of their expertise as well as on the basis of regional representation</w:t>
      </w:r>
    </w:p>
    <w:p w:rsidR="007D4D23" w:rsidRDefault="007D4D23" w:rsidP="007D4D23">
      <w:pPr>
        <w:pStyle w:val="ListParagraph"/>
        <w:numPr>
          <w:ilvl w:val="1"/>
          <w:numId w:val="1"/>
        </w:numPr>
      </w:pPr>
      <w:r>
        <w:t>Also includes the governor, senior deputy governor and the deputy minister of Finance</w:t>
      </w:r>
    </w:p>
    <w:p w:rsidR="007D4D23" w:rsidRDefault="007D4D23" w:rsidP="007D4D23">
      <w:pPr>
        <w:pStyle w:val="ListParagraph"/>
        <w:numPr>
          <w:ilvl w:val="0"/>
          <w:numId w:val="1"/>
        </w:numPr>
      </w:pPr>
      <w:r>
        <w:t>Responsible for conducting monetary policy that promotes the economic welfare of Canada</w:t>
      </w:r>
    </w:p>
    <w:p w:rsidR="000D384C" w:rsidRPr="000D384C" w:rsidRDefault="000A049F" w:rsidP="000D384C">
      <w:pPr>
        <w:pStyle w:val="ListParagraph"/>
        <w:numPr>
          <w:ilvl w:val="0"/>
          <w:numId w:val="1"/>
        </w:numPr>
      </w:pPr>
      <w:r w:rsidRPr="000D384C">
        <w:rPr>
          <w:lang w:val="en-US"/>
        </w:rPr>
        <w:t xml:space="preserve">The target overnight interest rate is set via consensus within the Governing </w:t>
      </w:r>
      <w:r w:rsidRPr="000D384C">
        <w:rPr>
          <w:lang w:val="en-US"/>
        </w:rPr>
        <w:t>Council eight times per year at regular predetermined dates (or other dates if deemed necessary).</w:t>
      </w:r>
    </w:p>
    <w:p w:rsidR="00000000" w:rsidRPr="000D384C" w:rsidRDefault="000A049F" w:rsidP="000D384C">
      <w:pPr>
        <w:pStyle w:val="ListParagraph"/>
        <w:numPr>
          <w:ilvl w:val="0"/>
          <w:numId w:val="1"/>
        </w:numPr>
      </w:pPr>
      <w:r w:rsidRPr="000D384C">
        <w:rPr>
          <w:lang w:val="en-US"/>
        </w:rPr>
        <w:t xml:space="preserve">While its main function is the conduct of monetary policy, the Bank of Canada also holds other responsibilities: </w:t>
      </w:r>
    </w:p>
    <w:p w:rsidR="000D384C" w:rsidRPr="000D384C" w:rsidRDefault="000A049F" w:rsidP="000D384C">
      <w:pPr>
        <w:pStyle w:val="ListParagraph"/>
        <w:numPr>
          <w:ilvl w:val="1"/>
          <w:numId w:val="1"/>
        </w:numPr>
      </w:pPr>
      <w:r w:rsidRPr="000D384C">
        <w:rPr>
          <w:lang w:val="en-US"/>
        </w:rPr>
        <w:t>It functions as the fiscal agent of the fe</w:t>
      </w:r>
      <w:r w:rsidRPr="000D384C">
        <w:rPr>
          <w:lang w:val="en-US"/>
        </w:rPr>
        <w:t>deral government in collecting taxes and managing the public debt.</w:t>
      </w:r>
    </w:p>
    <w:p w:rsidR="00000000" w:rsidRPr="000D384C" w:rsidRDefault="000A049F" w:rsidP="000D384C">
      <w:pPr>
        <w:pStyle w:val="ListParagraph"/>
        <w:numPr>
          <w:ilvl w:val="1"/>
          <w:numId w:val="1"/>
        </w:numPr>
      </w:pPr>
      <w:r w:rsidRPr="000D384C">
        <w:rPr>
          <w:lang w:val="en-US"/>
        </w:rPr>
        <w:t>It oversees the clearing and settlement process of the Canadian payment system.</w:t>
      </w:r>
    </w:p>
    <w:p w:rsidR="000D384C" w:rsidRDefault="000D384C" w:rsidP="000D384C">
      <w:pPr>
        <w:pStyle w:val="ListParagraph"/>
        <w:numPr>
          <w:ilvl w:val="0"/>
          <w:numId w:val="1"/>
        </w:numPr>
      </w:pPr>
    </w:p>
    <w:p w:rsidR="007D4D23" w:rsidRDefault="007D4D23" w:rsidP="007D4D23"/>
    <w:p w:rsidR="007D4D23" w:rsidRDefault="007D4D23" w:rsidP="007D4D23">
      <w:r>
        <w:rPr>
          <w:i/>
        </w:rPr>
        <w:t>Central Bank Independence</w:t>
      </w:r>
    </w:p>
    <w:p w:rsidR="007D4D23" w:rsidRDefault="008D7B75" w:rsidP="007D4D23">
      <w:pPr>
        <w:pStyle w:val="ListParagraph"/>
        <w:numPr>
          <w:ilvl w:val="0"/>
          <w:numId w:val="1"/>
        </w:numPr>
      </w:pPr>
      <w:r>
        <w:t>Central Bank Independence: Refers to the central bank’s ability to make decisions without political interference</w:t>
      </w:r>
    </w:p>
    <w:p w:rsidR="008D7B75" w:rsidRDefault="008D7B75" w:rsidP="007D4D23">
      <w:pPr>
        <w:pStyle w:val="ListParagraph"/>
        <w:numPr>
          <w:ilvl w:val="0"/>
          <w:numId w:val="1"/>
        </w:numPr>
      </w:pPr>
      <w:r>
        <w:t>Independent banks help control inflation</w:t>
      </w:r>
    </w:p>
    <w:p w:rsidR="00000000" w:rsidRPr="000D384C" w:rsidRDefault="000A049F" w:rsidP="000D384C">
      <w:pPr>
        <w:pStyle w:val="ListParagraph"/>
        <w:numPr>
          <w:ilvl w:val="0"/>
          <w:numId w:val="1"/>
        </w:numPr>
      </w:pPr>
      <w:r w:rsidRPr="000D384C">
        <w:rPr>
          <w:lang w:val="en-US"/>
        </w:rPr>
        <w:t>Proponents of independence argue that it enables the central bank to take the long view and to make moneta</w:t>
      </w:r>
      <w:r w:rsidRPr="000D384C">
        <w:rPr>
          <w:lang w:val="en-US"/>
        </w:rPr>
        <w:t xml:space="preserve">ry policy decisions on objective, long-run, “non-political” </w:t>
      </w:r>
      <w:r w:rsidRPr="000D384C">
        <w:t>criteria.</w:t>
      </w:r>
    </w:p>
    <w:p w:rsidR="000D384C" w:rsidRDefault="000A049F" w:rsidP="000D384C">
      <w:pPr>
        <w:pStyle w:val="ListParagraph"/>
        <w:numPr>
          <w:ilvl w:val="0"/>
          <w:numId w:val="1"/>
        </w:numPr>
      </w:pPr>
      <w:r w:rsidRPr="000D384C">
        <w:rPr>
          <w:lang w:val="en-US"/>
        </w:rPr>
        <w:t>They point to historical evidence showing that countries with more independent central banks have, on average, experienced lower inflation.</w:t>
      </w:r>
      <w:r w:rsidRPr="000D384C">
        <w:t xml:space="preserve"> </w:t>
      </w:r>
    </w:p>
    <w:p w:rsidR="00000000" w:rsidRPr="000D384C" w:rsidRDefault="000A049F" w:rsidP="000D384C">
      <w:pPr>
        <w:pStyle w:val="ListParagraph"/>
        <w:numPr>
          <w:ilvl w:val="0"/>
          <w:numId w:val="1"/>
        </w:numPr>
      </w:pPr>
      <w:r w:rsidRPr="000D384C">
        <w:rPr>
          <w:lang w:val="en-US"/>
        </w:rPr>
        <w:t>Opponents of this view say it is undemocrat</w:t>
      </w:r>
      <w:r w:rsidRPr="000D384C">
        <w:rPr>
          <w:lang w:val="en-US"/>
        </w:rPr>
        <w:t xml:space="preserve">ic to let a group of unelected bankers and economists make decisions that affect every citizen’s well-being. </w:t>
      </w:r>
    </w:p>
    <w:p w:rsidR="000D384C" w:rsidRPr="000D384C" w:rsidRDefault="000A049F" w:rsidP="000D384C">
      <w:pPr>
        <w:pStyle w:val="ListParagraph"/>
        <w:numPr>
          <w:ilvl w:val="0"/>
          <w:numId w:val="1"/>
        </w:numPr>
      </w:pPr>
      <w:r w:rsidRPr="000D384C">
        <w:rPr>
          <w:lang w:val="en-US"/>
        </w:rPr>
        <w:lastRenderedPageBreak/>
        <w:t>Monetary policy, they argue, should be formulated by the elected representatives of the people, just as fiscal policy is.</w:t>
      </w:r>
    </w:p>
    <w:p w:rsidR="000D384C" w:rsidRDefault="000A049F" w:rsidP="000D384C">
      <w:pPr>
        <w:pStyle w:val="ListParagraph"/>
        <w:numPr>
          <w:ilvl w:val="0"/>
          <w:numId w:val="1"/>
        </w:numPr>
      </w:pPr>
      <w:r w:rsidRPr="000D384C">
        <w:rPr>
          <w:lang w:val="en-US"/>
        </w:rPr>
        <w:t xml:space="preserve">The high inflation of </w:t>
      </w:r>
      <w:r w:rsidRPr="000D384C">
        <w:rPr>
          <w:lang w:val="en-US"/>
        </w:rPr>
        <w:t xml:space="preserve">the 1970s and early 1980s helped resolve this issue by convincing many governments around the world that an independent central bank was essential </w:t>
      </w:r>
      <w:r w:rsidRPr="000D384C">
        <w:t>to controlling inflation and that decisions could not be left to the elected representatives --- the fiscal a</w:t>
      </w:r>
      <w:r w:rsidRPr="000D384C">
        <w:t>uthorities.</w:t>
      </w:r>
      <w:r w:rsidRPr="000D384C">
        <w:rPr>
          <w:lang w:val="en-US"/>
        </w:rPr>
        <w:t xml:space="preserve"> </w:t>
      </w:r>
    </w:p>
    <w:p w:rsidR="008D7B75" w:rsidRDefault="008D7B75" w:rsidP="008D7B75"/>
    <w:p w:rsidR="008D7B75" w:rsidRDefault="008D7B75" w:rsidP="008D7B75">
      <w:r>
        <w:rPr>
          <w:b/>
        </w:rPr>
        <w:t>Monetary Policy</w:t>
      </w:r>
    </w:p>
    <w:p w:rsidR="008D7B75" w:rsidRDefault="008D7B75" w:rsidP="008D7B75"/>
    <w:p w:rsidR="008D7B75" w:rsidRDefault="008D7B75" w:rsidP="008D7B75">
      <w:pPr>
        <w:pStyle w:val="ListParagraph"/>
        <w:numPr>
          <w:ilvl w:val="0"/>
          <w:numId w:val="1"/>
        </w:numPr>
      </w:pPr>
      <w:r>
        <w:t>Monetary Policy Implementation: The set of rules, instruments, and day-to-day actions that allow the central bank to achieve its operational target.</w:t>
      </w:r>
    </w:p>
    <w:p w:rsidR="008D7B75" w:rsidRDefault="008D7B75" w:rsidP="008D7B75">
      <w:pPr>
        <w:pStyle w:val="ListParagraph"/>
        <w:numPr>
          <w:ilvl w:val="0"/>
          <w:numId w:val="1"/>
        </w:numPr>
      </w:pPr>
      <w:r>
        <w:t>Made up of two elements</w:t>
      </w:r>
    </w:p>
    <w:p w:rsidR="008D7B75" w:rsidRDefault="008D7B75" w:rsidP="008D7B75">
      <w:pPr>
        <w:pStyle w:val="ListParagraph"/>
        <w:numPr>
          <w:ilvl w:val="1"/>
          <w:numId w:val="1"/>
        </w:numPr>
      </w:pPr>
      <w:r>
        <w:t>Operational Target and Operational Instruments</w:t>
      </w:r>
    </w:p>
    <w:p w:rsidR="008D7B75" w:rsidRDefault="008D7B75" w:rsidP="008D7B75">
      <w:pPr>
        <w:pStyle w:val="ListParagraph"/>
        <w:numPr>
          <w:ilvl w:val="1"/>
          <w:numId w:val="1"/>
        </w:numPr>
      </w:pPr>
      <w:r>
        <w:t xml:space="preserve">Both must be under the control of the central bank if </w:t>
      </w:r>
      <w:proofErr w:type="spellStart"/>
      <w:r>
        <w:t>mpi</w:t>
      </w:r>
      <w:proofErr w:type="spellEnd"/>
      <w:r>
        <w:t xml:space="preserve"> is to be successful</w:t>
      </w:r>
    </w:p>
    <w:p w:rsidR="008D7B75" w:rsidRDefault="008D7B75" w:rsidP="008D7B75">
      <w:pPr>
        <w:pStyle w:val="ListParagraph"/>
        <w:numPr>
          <w:ilvl w:val="0"/>
          <w:numId w:val="1"/>
        </w:numPr>
      </w:pPr>
      <w:r>
        <w:t>Overnight Interest Rate: The interest rate that banks and other financial market participants pay and receive when they borrow and lend surplus funds among themselves for one night</w:t>
      </w:r>
    </w:p>
    <w:p w:rsidR="008D7B75" w:rsidRDefault="008D7B75" w:rsidP="008D7B75">
      <w:pPr>
        <w:pStyle w:val="ListParagraph"/>
        <w:numPr>
          <w:ilvl w:val="1"/>
          <w:numId w:val="1"/>
        </w:numPr>
      </w:pPr>
      <w:r>
        <w:t>The rate of interest at which banks and other financial market participants lend and borrow money among themselves.</w:t>
      </w:r>
    </w:p>
    <w:p w:rsidR="008D7B75" w:rsidRDefault="008D7B75" w:rsidP="008D7B75">
      <w:pPr>
        <w:pStyle w:val="ListParagraph"/>
        <w:numPr>
          <w:ilvl w:val="0"/>
          <w:numId w:val="1"/>
        </w:numPr>
      </w:pPr>
      <w:r>
        <w:t>Target Overnight Interest Rate: The operational target of the Bank of Canada</w:t>
      </w:r>
    </w:p>
    <w:p w:rsidR="008D7B75" w:rsidRDefault="008D7B75" w:rsidP="008D7B75">
      <w:pPr>
        <w:pStyle w:val="ListParagraph"/>
        <w:numPr>
          <w:ilvl w:val="0"/>
          <w:numId w:val="1"/>
        </w:numPr>
      </w:pPr>
      <w:r>
        <w:t>Monetary Policy Strategy: The decision that the central bank makes about the level of the target overnight interest rate to try to influence or achieve, for example, a target inflation rate.</w:t>
      </w:r>
    </w:p>
    <w:p w:rsidR="008D7B75" w:rsidRDefault="008D7B75" w:rsidP="001A110B"/>
    <w:p w:rsidR="001A110B" w:rsidRDefault="001A110B" w:rsidP="001A110B">
      <w:r>
        <w:rPr>
          <w:b/>
        </w:rPr>
        <w:t>Monetary Policy Strategy</w:t>
      </w:r>
    </w:p>
    <w:p w:rsidR="001A110B" w:rsidRDefault="001A110B" w:rsidP="001A110B"/>
    <w:p w:rsidR="001A110B" w:rsidRDefault="001A110B" w:rsidP="001A110B">
      <w:pPr>
        <w:pStyle w:val="ListParagraph"/>
        <w:numPr>
          <w:ilvl w:val="0"/>
          <w:numId w:val="1"/>
        </w:numPr>
      </w:pPr>
      <w:r>
        <w:t>The link between changes in interest rates under the control of the Bank of Canada and economic activity is called the transmission mechanism.</w:t>
      </w:r>
    </w:p>
    <w:p w:rsidR="001A110B" w:rsidRDefault="001A110B" w:rsidP="001A110B"/>
    <w:p w:rsidR="001A110B" w:rsidRDefault="001A110B" w:rsidP="001A110B">
      <w:pPr>
        <w:rPr>
          <w:i/>
        </w:rPr>
      </w:pPr>
      <w:r>
        <w:rPr>
          <w:i/>
        </w:rPr>
        <w:t>The Macroeconomic Goals of the Bank of Canada</w:t>
      </w:r>
    </w:p>
    <w:p w:rsidR="001A110B" w:rsidRDefault="001A110B" w:rsidP="001A110B">
      <w:pPr>
        <w:pStyle w:val="ListParagraph"/>
        <w:numPr>
          <w:ilvl w:val="0"/>
          <w:numId w:val="1"/>
        </w:numPr>
      </w:pPr>
      <w:r>
        <w:t>The Bank of Canada must:</w:t>
      </w:r>
    </w:p>
    <w:p w:rsidR="001A110B" w:rsidRDefault="000F5CEF" w:rsidP="001A110B">
      <w:pPr>
        <w:pStyle w:val="ListParagraph"/>
        <w:numPr>
          <w:ilvl w:val="1"/>
          <w:numId w:val="1"/>
        </w:numPr>
      </w:pPr>
      <w:r>
        <w:t>Regulate credit</w:t>
      </w:r>
    </w:p>
    <w:p w:rsidR="000F5CEF" w:rsidRDefault="000F5CEF" w:rsidP="001A110B">
      <w:pPr>
        <w:pStyle w:val="ListParagraph"/>
        <w:numPr>
          <w:ilvl w:val="1"/>
          <w:numId w:val="1"/>
        </w:numPr>
      </w:pPr>
      <w:r>
        <w:t>Provide currency in an adequate way</w:t>
      </w:r>
    </w:p>
    <w:p w:rsidR="000F5CEF" w:rsidRDefault="000F5CEF" w:rsidP="001A110B">
      <w:pPr>
        <w:pStyle w:val="ListParagraph"/>
        <w:numPr>
          <w:ilvl w:val="1"/>
          <w:numId w:val="1"/>
        </w:numPr>
      </w:pPr>
      <w:r>
        <w:t>Protect the value of the Canadian dollar on foreign exchange markets</w:t>
      </w:r>
    </w:p>
    <w:p w:rsidR="000F5CEF" w:rsidRDefault="000F5CEF" w:rsidP="001A110B">
      <w:pPr>
        <w:pStyle w:val="ListParagraph"/>
        <w:numPr>
          <w:ilvl w:val="1"/>
          <w:numId w:val="1"/>
        </w:numPr>
      </w:pPr>
      <w:r>
        <w:t>Take action to reduce fluctuations in prices, and control inflation</w:t>
      </w:r>
    </w:p>
    <w:p w:rsidR="000F5CEF" w:rsidRDefault="000F5CEF" w:rsidP="001A110B">
      <w:pPr>
        <w:pStyle w:val="ListParagraph"/>
        <w:numPr>
          <w:ilvl w:val="1"/>
          <w:numId w:val="1"/>
        </w:numPr>
      </w:pPr>
      <w:r>
        <w:t>Take action to reduce fluctuations in output and employment</w:t>
      </w:r>
    </w:p>
    <w:p w:rsidR="000F5CEF" w:rsidRDefault="000F5CEF" w:rsidP="001A110B">
      <w:pPr>
        <w:pStyle w:val="ListParagraph"/>
        <w:numPr>
          <w:ilvl w:val="1"/>
          <w:numId w:val="1"/>
        </w:numPr>
      </w:pPr>
      <w:r>
        <w:t>Promote economic and financial welfare</w:t>
      </w:r>
    </w:p>
    <w:p w:rsidR="000F5CEF" w:rsidRDefault="000F5CEF" w:rsidP="000F5CEF">
      <w:pPr>
        <w:pStyle w:val="ListParagraph"/>
        <w:numPr>
          <w:ilvl w:val="0"/>
          <w:numId w:val="1"/>
        </w:numPr>
      </w:pPr>
      <w:r>
        <w:t>Inflation Targeting: The goal of the Bank of Canada to keep the inflation rate at a particular level (currently 2% is the goal)</w:t>
      </w:r>
    </w:p>
    <w:p w:rsidR="000F5CEF" w:rsidRDefault="000F5CEF" w:rsidP="000F5CEF">
      <w:pPr>
        <w:pStyle w:val="ListParagraph"/>
        <w:numPr>
          <w:ilvl w:val="1"/>
          <w:numId w:val="1"/>
        </w:numPr>
      </w:pPr>
      <w:r>
        <w:t>Has been the main macroeconomic goal of the BOC since 1001.</w:t>
      </w:r>
    </w:p>
    <w:p w:rsidR="000F5CEF" w:rsidRDefault="000F5CEF" w:rsidP="000F5CEF">
      <w:pPr>
        <w:pStyle w:val="ListParagraph"/>
        <w:numPr>
          <w:ilvl w:val="0"/>
          <w:numId w:val="1"/>
        </w:numPr>
      </w:pPr>
      <w:r>
        <w:t>Bank uses the 12-month rate of increase in the total Consumer Price Index as the country’s inflation rate, as it is the most commonly used indicator of inflation in the Canadian economy.</w:t>
      </w:r>
    </w:p>
    <w:p w:rsidR="000F5CEF" w:rsidRDefault="000F5CEF" w:rsidP="000F5CEF"/>
    <w:p w:rsidR="000F5CEF" w:rsidRDefault="000F5CEF" w:rsidP="000F5CEF">
      <w:r>
        <w:rPr>
          <w:i/>
        </w:rPr>
        <w:t>The Transmission Mechanism of Monetary Policy</w:t>
      </w:r>
    </w:p>
    <w:p w:rsidR="000F5CEF" w:rsidRDefault="00A37B20" w:rsidP="00A37B20">
      <w:pPr>
        <w:pStyle w:val="ListParagraph"/>
        <w:numPr>
          <w:ilvl w:val="0"/>
          <w:numId w:val="1"/>
        </w:numPr>
      </w:pPr>
      <w:r>
        <w:t>Table/Figure on pg. 287</w:t>
      </w:r>
    </w:p>
    <w:p w:rsidR="00A37B20" w:rsidRDefault="00A37B20" w:rsidP="00A37B20">
      <w:pPr>
        <w:pStyle w:val="ListParagraph"/>
        <w:numPr>
          <w:ilvl w:val="0"/>
          <w:numId w:val="1"/>
        </w:numPr>
      </w:pPr>
      <w:r>
        <w:lastRenderedPageBreak/>
        <w:t>Interest rates have an indirect effect on inflation rates</w:t>
      </w:r>
    </w:p>
    <w:p w:rsidR="00A37B20" w:rsidRDefault="00A37B20" w:rsidP="00A37B20">
      <w:pPr>
        <w:pStyle w:val="ListParagraph"/>
        <w:numPr>
          <w:ilvl w:val="0"/>
          <w:numId w:val="1"/>
        </w:numPr>
      </w:pPr>
      <w:r>
        <w:t>Increase in interest rates will slow down inflation rates by reducing economic activity</w:t>
      </w:r>
    </w:p>
    <w:p w:rsidR="00A37B20" w:rsidRDefault="00A37B20" w:rsidP="00A37B20">
      <w:pPr>
        <w:pStyle w:val="ListParagraph"/>
        <w:numPr>
          <w:ilvl w:val="1"/>
          <w:numId w:val="1"/>
        </w:numPr>
      </w:pPr>
      <w:r>
        <w:t>By reducing aggregate spending and hence production, thus increasing unemployment</w:t>
      </w:r>
    </w:p>
    <w:p w:rsidR="00A37B20" w:rsidRDefault="00A37B20" w:rsidP="00A37B20"/>
    <w:p w:rsidR="00A37B20" w:rsidRDefault="00A37B20" w:rsidP="00A37B20">
      <w:r>
        <w:rPr>
          <w:i/>
        </w:rPr>
        <w:t>Guides to Future Inflation</w:t>
      </w:r>
    </w:p>
    <w:p w:rsidR="00A37B20" w:rsidRDefault="002C10A6" w:rsidP="00A37B20">
      <w:pPr>
        <w:pStyle w:val="ListParagraph"/>
        <w:numPr>
          <w:ilvl w:val="0"/>
          <w:numId w:val="1"/>
        </w:numPr>
      </w:pPr>
      <w:r>
        <w:t>The Bank must assess the implications of the data received, and make a forecast of future inflations rates over a period of about 2 years under the assumption that no change is made to monetary policy</w:t>
      </w:r>
    </w:p>
    <w:p w:rsidR="002C10A6" w:rsidRDefault="002C10A6" w:rsidP="00A37B20">
      <w:pPr>
        <w:pStyle w:val="ListParagraph"/>
        <w:numPr>
          <w:ilvl w:val="0"/>
          <w:numId w:val="1"/>
        </w:numPr>
      </w:pPr>
      <w:r>
        <w:t>Core Inflation: The rate of change of a modified CPI that excludes certain items whose prices are the most volatile, such as food and energy</w:t>
      </w:r>
    </w:p>
    <w:p w:rsidR="002C10A6" w:rsidRDefault="002C10A6" w:rsidP="00A37B20">
      <w:pPr>
        <w:pStyle w:val="ListParagraph"/>
        <w:numPr>
          <w:ilvl w:val="0"/>
          <w:numId w:val="1"/>
        </w:numPr>
      </w:pPr>
      <w:r>
        <w:t>Output Gap: Measure of the inflationary tensions that exist in the economy, based on the discrepancy between actual real GDP and potential GDP, as defined by the BOC.</w:t>
      </w:r>
    </w:p>
    <w:p w:rsidR="000A4028" w:rsidRDefault="000A049F" w:rsidP="000A4028">
      <w:pPr>
        <w:pStyle w:val="ListParagraph"/>
        <w:numPr>
          <w:ilvl w:val="1"/>
          <w:numId w:val="1"/>
        </w:numPr>
      </w:pPr>
      <w:r w:rsidRPr="000A4028">
        <w:rPr>
          <w:lang w:val="en-US"/>
        </w:rPr>
        <w:t xml:space="preserve">The output gap is based on the discrepancy </w:t>
      </w:r>
      <w:r w:rsidRPr="000A4028">
        <w:t xml:space="preserve">between actual </w:t>
      </w:r>
      <w:r w:rsidRPr="000A4028">
        <w:rPr>
          <w:lang w:val="en-US"/>
        </w:rPr>
        <w:t xml:space="preserve">real GDP and potential GDP, as defined by the Bank of </w:t>
      </w:r>
      <w:r w:rsidRPr="000A4028">
        <w:t>Canada.</w:t>
      </w:r>
    </w:p>
    <w:p w:rsidR="002C10A6" w:rsidRDefault="002C10A6" w:rsidP="00556201"/>
    <w:p w:rsidR="00F231B4" w:rsidRDefault="00F231B4" w:rsidP="00556201">
      <w:r>
        <w:rPr>
          <w:i/>
        </w:rPr>
        <w:t>The Reaction Function of the Central Bank</w:t>
      </w:r>
    </w:p>
    <w:p w:rsidR="00F231B4" w:rsidRDefault="00F231B4" w:rsidP="00F231B4">
      <w:pPr>
        <w:pStyle w:val="ListParagraph"/>
        <w:numPr>
          <w:ilvl w:val="0"/>
          <w:numId w:val="1"/>
        </w:numPr>
      </w:pPr>
      <w:r>
        <w:t>In the past, one of the problems associated with central banks is that they paid little attention to the distinction between nominal and real interest rates.</w:t>
      </w:r>
    </w:p>
    <w:p w:rsidR="00F231B4" w:rsidRDefault="00F231B4" w:rsidP="00F231B4">
      <w:pPr>
        <w:pStyle w:val="ListParagraph"/>
        <w:numPr>
          <w:ilvl w:val="1"/>
          <w:numId w:val="1"/>
        </w:numPr>
      </w:pPr>
      <w:r>
        <w:t>This distinction is now considered to be fundamental to the conduct of monetary policy</w:t>
      </w:r>
    </w:p>
    <w:p w:rsidR="00F231B4" w:rsidRDefault="00F231B4" w:rsidP="00F231B4">
      <w:pPr>
        <w:pStyle w:val="ListParagraph"/>
        <w:numPr>
          <w:ilvl w:val="0"/>
          <w:numId w:val="1"/>
        </w:numPr>
      </w:pPr>
      <w:r>
        <w:t>When it decides on the target overnight rate, the BOC sets the nominal short-term interest rate.</w:t>
      </w:r>
    </w:p>
    <w:p w:rsidR="00F231B4" w:rsidRDefault="00F231B4" w:rsidP="00F231B4">
      <w:pPr>
        <w:pStyle w:val="ListParagraph"/>
        <w:numPr>
          <w:ilvl w:val="1"/>
          <w:numId w:val="1"/>
        </w:numPr>
      </w:pPr>
      <w:r>
        <w:rPr>
          <w:b/>
        </w:rPr>
        <w:t>Real Interest Rate = Nominal Interest rate – Expected Inflation Rate</w:t>
      </w:r>
    </w:p>
    <w:p w:rsidR="00F231B4" w:rsidRDefault="00DF5967" w:rsidP="00F231B4">
      <w:pPr>
        <w:pStyle w:val="ListParagraph"/>
        <w:numPr>
          <w:ilvl w:val="0"/>
          <w:numId w:val="1"/>
        </w:numPr>
      </w:pPr>
      <w:r>
        <w:t>Monetary policy strategy now requires central banks to raise nominal interest rates faster than inflation rises, and lowering real interest rates when inflation falls or is below target.</w:t>
      </w:r>
    </w:p>
    <w:p w:rsidR="00DF5967" w:rsidRDefault="00DF5967" w:rsidP="00F231B4">
      <w:pPr>
        <w:pStyle w:val="ListParagraph"/>
        <w:numPr>
          <w:ilvl w:val="0"/>
          <w:numId w:val="1"/>
        </w:numPr>
      </w:pPr>
      <w:r>
        <w:t>Relation Function: The relationship between the current inflation rate (</w:t>
      </w:r>
      <w:proofErr w:type="gramStart"/>
      <w:r>
        <w:t>or</w:t>
      </w:r>
      <w:proofErr w:type="gramEnd"/>
      <w:r>
        <w:t xml:space="preserve"> the expected future inflation rate) and the target overnight interest rate that the central bank sets in response to this inflation rate.</w:t>
      </w:r>
    </w:p>
    <w:p w:rsidR="00DF5967" w:rsidRDefault="00DF5967" w:rsidP="00F231B4">
      <w:pPr>
        <w:pStyle w:val="ListParagraph"/>
        <w:numPr>
          <w:ilvl w:val="0"/>
          <w:numId w:val="1"/>
        </w:numPr>
      </w:pPr>
      <w:r>
        <w:t xml:space="preserve">The Taylor Rule </w:t>
      </w:r>
      <w:r>
        <w:sym w:font="Wingdings" w:char="F0E0"/>
      </w:r>
      <w:r>
        <w:t xml:space="preserve"> Splits the forecasted inflation into two components:</w:t>
      </w:r>
      <w:r>
        <w:tab/>
      </w:r>
    </w:p>
    <w:p w:rsidR="00DF5967" w:rsidRDefault="00DF5967" w:rsidP="00DF5967">
      <w:pPr>
        <w:pStyle w:val="ListParagraph"/>
        <w:numPr>
          <w:ilvl w:val="1"/>
          <w:numId w:val="1"/>
        </w:numPr>
      </w:pPr>
      <w:r>
        <w:t>The current actual inflation rate</w:t>
      </w:r>
    </w:p>
    <w:p w:rsidR="00DF5967" w:rsidRDefault="00DF5967" w:rsidP="00DF5967">
      <w:pPr>
        <w:pStyle w:val="ListParagraph"/>
        <w:numPr>
          <w:ilvl w:val="1"/>
          <w:numId w:val="1"/>
        </w:numPr>
      </w:pPr>
      <w:r>
        <w:t>The forecasted increase in the inflation rate that can be attributed to the output gap</w:t>
      </w:r>
    </w:p>
    <w:p w:rsidR="00DF5967" w:rsidRDefault="00DF5967" w:rsidP="00DF5967"/>
    <w:p w:rsidR="00DF5967" w:rsidRDefault="00DF5967" w:rsidP="00DF5967">
      <w:pPr>
        <w:rPr>
          <w:b/>
          <w:sz w:val="18"/>
          <w:szCs w:val="18"/>
        </w:rPr>
      </w:pPr>
      <w:r w:rsidRPr="00DF5967">
        <w:rPr>
          <w:b/>
          <w:sz w:val="18"/>
          <w:szCs w:val="18"/>
        </w:rPr>
        <w:t>Target Overnight Rate = 2% + Inflation Rate + [0.5 x (Inflation Rate – Target Inflation Rate)] + [0.5 x (%Output Gap)]</w:t>
      </w:r>
    </w:p>
    <w:p w:rsidR="00DF5967" w:rsidRDefault="00DF5967" w:rsidP="00DF5967">
      <w:pPr>
        <w:rPr>
          <w:b/>
          <w:sz w:val="18"/>
          <w:szCs w:val="18"/>
        </w:rPr>
      </w:pPr>
    </w:p>
    <w:p w:rsidR="00DF5967" w:rsidRDefault="00DF5967" w:rsidP="00DF5967">
      <w:pPr>
        <w:pStyle w:val="ListParagraph"/>
        <w:numPr>
          <w:ilvl w:val="0"/>
          <w:numId w:val="1"/>
        </w:numPr>
        <w:rPr>
          <w:szCs w:val="18"/>
        </w:rPr>
      </w:pPr>
      <w:r>
        <w:rPr>
          <w:szCs w:val="18"/>
        </w:rPr>
        <w:t>Under such a rule, the central bank will set higher real interest rates whenever inflation rates are higher.</w:t>
      </w:r>
    </w:p>
    <w:p w:rsidR="00A6247D" w:rsidRDefault="00A6247D" w:rsidP="00A6247D">
      <w:pPr>
        <w:rPr>
          <w:szCs w:val="18"/>
        </w:rPr>
      </w:pPr>
    </w:p>
    <w:p w:rsidR="00A6247D" w:rsidRDefault="00A6247D" w:rsidP="00A6247D">
      <w:pPr>
        <w:rPr>
          <w:szCs w:val="18"/>
        </w:rPr>
      </w:pPr>
      <w:r>
        <w:rPr>
          <w:i/>
          <w:szCs w:val="18"/>
        </w:rPr>
        <w:t>Links among Interest Rates</w:t>
      </w:r>
    </w:p>
    <w:p w:rsidR="00A6247D" w:rsidRDefault="009651A0" w:rsidP="00A6247D">
      <w:pPr>
        <w:pStyle w:val="ListParagraph"/>
        <w:numPr>
          <w:ilvl w:val="0"/>
          <w:numId w:val="1"/>
        </w:numPr>
        <w:rPr>
          <w:szCs w:val="18"/>
        </w:rPr>
      </w:pPr>
      <w:r>
        <w:rPr>
          <w:szCs w:val="18"/>
        </w:rPr>
        <w:t>Will interest rates follow the up and down movement of the BOCs target overnight rate.</w:t>
      </w:r>
    </w:p>
    <w:p w:rsidR="009651A0" w:rsidRDefault="009651A0" w:rsidP="009651A0">
      <w:pPr>
        <w:pStyle w:val="ListParagraph"/>
        <w:numPr>
          <w:ilvl w:val="1"/>
          <w:numId w:val="1"/>
        </w:numPr>
        <w:rPr>
          <w:szCs w:val="18"/>
        </w:rPr>
      </w:pPr>
      <w:r>
        <w:rPr>
          <w:szCs w:val="18"/>
        </w:rPr>
        <w:t>Answer generally depends on whether we are talking about short-term or long-term investment rates.</w:t>
      </w:r>
    </w:p>
    <w:p w:rsidR="009651A0" w:rsidRDefault="009651A0" w:rsidP="009651A0">
      <w:pPr>
        <w:pStyle w:val="ListParagraph"/>
        <w:numPr>
          <w:ilvl w:val="0"/>
          <w:numId w:val="1"/>
        </w:numPr>
        <w:rPr>
          <w:szCs w:val="18"/>
        </w:rPr>
      </w:pPr>
      <w:r>
        <w:rPr>
          <w:szCs w:val="18"/>
        </w:rPr>
        <w:t>Short-Term</w:t>
      </w:r>
    </w:p>
    <w:p w:rsidR="009651A0" w:rsidRDefault="009651A0" w:rsidP="009651A0">
      <w:pPr>
        <w:pStyle w:val="ListParagraph"/>
        <w:numPr>
          <w:ilvl w:val="1"/>
          <w:numId w:val="1"/>
        </w:numPr>
        <w:rPr>
          <w:szCs w:val="18"/>
        </w:rPr>
      </w:pPr>
      <w:r>
        <w:rPr>
          <w:szCs w:val="18"/>
        </w:rPr>
        <w:t>Both market rates and administered rates follow closely the target overnight rate.</w:t>
      </w:r>
    </w:p>
    <w:p w:rsidR="009651A0" w:rsidRDefault="009651A0" w:rsidP="009651A0">
      <w:pPr>
        <w:pStyle w:val="ListParagraph"/>
        <w:numPr>
          <w:ilvl w:val="0"/>
          <w:numId w:val="1"/>
        </w:numPr>
        <w:rPr>
          <w:szCs w:val="18"/>
        </w:rPr>
      </w:pPr>
      <w:r>
        <w:rPr>
          <w:szCs w:val="18"/>
        </w:rPr>
        <w:t>Long-Term</w:t>
      </w:r>
    </w:p>
    <w:p w:rsidR="009651A0" w:rsidRDefault="009651A0" w:rsidP="009651A0">
      <w:pPr>
        <w:pStyle w:val="ListParagraph"/>
        <w:numPr>
          <w:ilvl w:val="1"/>
          <w:numId w:val="1"/>
        </w:numPr>
        <w:rPr>
          <w:szCs w:val="18"/>
        </w:rPr>
      </w:pPr>
      <w:r>
        <w:rPr>
          <w:szCs w:val="18"/>
        </w:rPr>
        <w:t>Do not follow as closely the changes in the overnight target rate.</w:t>
      </w:r>
    </w:p>
    <w:p w:rsidR="009651A0" w:rsidRDefault="009651A0" w:rsidP="009651A0">
      <w:pPr>
        <w:rPr>
          <w:szCs w:val="18"/>
        </w:rPr>
      </w:pPr>
    </w:p>
    <w:p w:rsidR="009651A0" w:rsidRDefault="009651A0" w:rsidP="009651A0">
      <w:pPr>
        <w:rPr>
          <w:szCs w:val="18"/>
        </w:rPr>
      </w:pPr>
      <w:r>
        <w:rPr>
          <w:i/>
          <w:szCs w:val="18"/>
        </w:rPr>
        <w:lastRenderedPageBreak/>
        <w:t>The Negative Relationship between Interest Rates and Spending</w:t>
      </w:r>
    </w:p>
    <w:p w:rsidR="009651A0" w:rsidRDefault="00D80707" w:rsidP="00D80707">
      <w:pPr>
        <w:pStyle w:val="ListParagraph"/>
        <w:numPr>
          <w:ilvl w:val="0"/>
          <w:numId w:val="1"/>
        </w:numPr>
        <w:rPr>
          <w:szCs w:val="18"/>
        </w:rPr>
      </w:pPr>
      <w:r>
        <w:rPr>
          <w:szCs w:val="18"/>
        </w:rPr>
        <w:t>Three important components of total expenditures are somewhat interest elastic:</w:t>
      </w:r>
    </w:p>
    <w:p w:rsidR="00D80707" w:rsidRDefault="00D80707" w:rsidP="00D80707">
      <w:pPr>
        <w:pStyle w:val="ListParagraph"/>
        <w:numPr>
          <w:ilvl w:val="1"/>
          <w:numId w:val="1"/>
        </w:numPr>
        <w:rPr>
          <w:szCs w:val="18"/>
        </w:rPr>
      </w:pPr>
      <w:r>
        <w:rPr>
          <w:szCs w:val="18"/>
        </w:rPr>
        <w:t>Consumer expenditures on durable goods</w:t>
      </w:r>
    </w:p>
    <w:p w:rsidR="00D80707" w:rsidRDefault="00D80707" w:rsidP="00D80707">
      <w:pPr>
        <w:pStyle w:val="ListParagraph"/>
        <w:numPr>
          <w:ilvl w:val="1"/>
          <w:numId w:val="1"/>
        </w:numPr>
        <w:rPr>
          <w:szCs w:val="18"/>
        </w:rPr>
      </w:pPr>
      <w:r>
        <w:rPr>
          <w:szCs w:val="18"/>
        </w:rPr>
        <w:t>Investment spending by business enterprises and residential construction</w:t>
      </w:r>
    </w:p>
    <w:p w:rsidR="00D80707" w:rsidRDefault="00D80707" w:rsidP="00D80707">
      <w:pPr>
        <w:pStyle w:val="ListParagraph"/>
        <w:numPr>
          <w:ilvl w:val="1"/>
          <w:numId w:val="1"/>
        </w:numPr>
        <w:rPr>
          <w:szCs w:val="18"/>
        </w:rPr>
      </w:pPr>
      <w:r>
        <w:rPr>
          <w:szCs w:val="18"/>
        </w:rPr>
        <w:t>Net exports</w:t>
      </w:r>
    </w:p>
    <w:p w:rsidR="00D80707" w:rsidRDefault="00D80707" w:rsidP="00D80707">
      <w:pPr>
        <w:pStyle w:val="ListParagraph"/>
        <w:numPr>
          <w:ilvl w:val="0"/>
          <w:numId w:val="1"/>
        </w:numPr>
        <w:rPr>
          <w:szCs w:val="18"/>
        </w:rPr>
      </w:pPr>
      <w:r>
        <w:rPr>
          <w:szCs w:val="18"/>
        </w:rPr>
        <w:t>Given household disposable income, the higher the level of interest rates is, the lower that consumption spending on durable goods might be.</w:t>
      </w:r>
    </w:p>
    <w:p w:rsidR="00D80707" w:rsidRDefault="00D80707" w:rsidP="00D80707">
      <w:pPr>
        <w:pStyle w:val="ListParagraph"/>
        <w:numPr>
          <w:ilvl w:val="0"/>
          <w:numId w:val="1"/>
        </w:numPr>
        <w:rPr>
          <w:szCs w:val="18"/>
        </w:rPr>
      </w:pPr>
      <w:r>
        <w:rPr>
          <w:szCs w:val="18"/>
        </w:rPr>
        <w:t>If businesses have to make higher interest payments on previously accumulated debt, then they have less cash flow left to finance investment and expansion.</w:t>
      </w:r>
    </w:p>
    <w:p w:rsidR="00D80707" w:rsidRDefault="00D80707" w:rsidP="00D80707">
      <w:pPr>
        <w:pStyle w:val="ListParagraph"/>
        <w:numPr>
          <w:ilvl w:val="0"/>
          <w:numId w:val="1"/>
        </w:numPr>
        <w:rPr>
          <w:szCs w:val="18"/>
        </w:rPr>
      </w:pPr>
      <w:r>
        <w:rPr>
          <w:szCs w:val="18"/>
        </w:rPr>
        <w:t>When interest rates rise, fewer borrowers qualify for loans, or receive loans of smaller amounts, when purchasing a home, thus investment in housing is likely to slow when interest rates rise.</w:t>
      </w:r>
    </w:p>
    <w:p w:rsidR="00D80707" w:rsidRDefault="00995481" w:rsidP="00D80707">
      <w:pPr>
        <w:pStyle w:val="ListParagraph"/>
        <w:numPr>
          <w:ilvl w:val="0"/>
          <w:numId w:val="1"/>
        </w:numPr>
        <w:rPr>
          <w:szCs w:val="18"/>
        </w:rPr>
      </w:pPr>
      <w:r>
        <w:rPr>
          <w:szCs w:val="18"/>
        </w:rPr>
        <w:t xml:space="preserve">Higher demand for our currency raises its exchange rate in terms of foreign </w:t>
      </w:r>
      <w:proofErr w:type="gramStart"/>
      <w:r>
        <w:rPr>
          <w:szCs w:val="18"/>
        </w:rPr>
        <w:t>currencies,</w:t>
      </w:r>
      <w:proofErr w:type="gramEnd"/>
      <w:r>
        <w:rPr>
          <w:szCs w:val="18"/>
        </w:rPr>
        <w:t xml:space="preserve"> this increases the prices of our exports in terms of foreign currencies and makes our goods less competitive internationally, while simultaneously reducing the price of foreign imports.</w:t>
      </w:r>
    </w:p>
    <w:p w:rsidR="00995481" w:rsidRDefault="00995481" w:rsidP="00D80707">
      <w:pPr>
        <w:pStyle w:val="ListParagraph"/>
        <w:numPr>
          <w:ilvl w:val="0"/>
          <w:numId w:val="1"/>
        </w:numPr>
        <w:rPr>
          <w:szCs w:val="18"/>
        </w:rPr>
      </w:pPr>
      <w:r>
        <w:rPr>
          <w:szCs w:val="18"/>
        </w:rPr>
        <w:t>Two channels through which monetary policy has an effect on all three private components of aggregate spending and real GDP</w:t>
      </w:r>
    </w:p>
    <w:p w:rsidR="00995481" w:rsidRDefault="00995481" w:rsidP="00995481">
      <w:pPr>
        <w:pStyle w:val="ListParagraph"/>
        <w:numPr>
          <w:ilvl w:val="1"/>
          <w:numId w:val="1"/>
        </w:numPr>
        <w:rPr>
          <w:szCs w:val="18"/>
        </w:rPr>
      </w:pPr>
      <w:r>
        <w:rPr>
          <w:szCs w:val="18"/>
        </w:rPr>
        <w:t>A direct channel</w:t>
      </w:r>
      <w:r w:rsidR="00BD44FF">
        <w:rPr>
          <w:szCs w:val="18"/>
        </w:rPr>
        <w:t xml:space="preserve"> through consumption and investment (elements 3A and 4A)</w:t>
      </w:r>
    </w:p>
    <w:p w:rsidR="00BD44FF" w:rsidRDefault="00BD44FF" w:rsidP="00995481">
      <w:pPr>
        <w:pStyle w:val="ListParagraph"/>
        <w:numPr>
          <w:ilvl w:val="1"/>
          <w:numId w:val="1"/>
        </w:numPr>
        <w:rPr>
          <w:szCs w:val="18"/>
        </w:rPr>
      </w:pPr>
      <w:r>
        <w:rPr>
          <w:szCs w:val="18"/>
        </w:rPr>
        <w:t>An indirect channel through the exchange rate and net exports (elements 3B/4B)</w:t>
      </w:r>
    </w:p>
    <w:p w:rsidR="00BD44FF" w:rsidRDefault="00BD44FF" w:rsidP="00BD44FF">
      <w:pPr>
        <w:pStyle w:val="ListParagraph"/>
        <w:numPr>
          <w:ilvl w:val="0"/>
          <w:numId w:val="1"/>
        </w:numPr>
        <w:rPr>
          <w:szCs w:val="18"/>
        </w:rPr>
      </w:pPr>
      <w:r>
        <w:rPr>
          <w:szCs w:val="18"/>
        </w:rPr>
        <w:t>Higher real interest rates, resulting from the reaction function of the central bank, induce decreases in the various components of aggregate spending, thus leading to a vertical downward shift of the expenditure schedule.</w:t>
      </w:r>
    </w:p>
    <w:p w:rsidR="00BD44FF" w:rsidRDefault="00BD44FF" w:rsidP="00F748F3">
      <w:pPr>
        <w:rPr>
          <w:szCs w:val="18"/>
        </w:rPr>
      </w:pPr>
    </w:p>
    <w:p w:rsidR="00F748F3" w:rsidRDefault="00F748F3" w:rsidP="00F748F3">
      <w:pPr>
        <w:rPr>
          <w:b/>
          <w:szCs w:val="18"/>
        </w:rPr>
      </w:pPr>
      <w:r>
        <w:rPr>
          <w:b/>
          <w:szCs w:val="18"/>
        </w:rPr>
        <w:t>Monetary Policy Implementation</w:t>
      </w:r>
    </w:p>
    <w:p w:rsidR="00E062C2" w:rsidRDefault="00E062C2" w:rsidP="00F748F3">
      <w:pPr>
        <w:rPr>
          <w:szCs w:val="18"/>
        </w:rPr>
      </w:pPr>
    </w:p>
    <w:p w:rsidR="00E062C2" w:rsidRDefault="00E062C2" w:rsidP="00E062C2">
      <w:pPr>
        <w:rPr>
          <w:i/>
          <w:szCs w:val="18"/>
        </w:rPr>
      </w:pPr>
      <w:r>
        <w:rPr>
          <w:i/>
          <w:szCs w:val="18"/>
        </w:rPr>
        <w:t>Standing Facilities and the Corridor System</w:t>
      </w:r>
    </w:p>
    <w:p w:rsidR="00E062C2" w:rsidRDefault="00E062C2" w:rsidP="00E062C2">
      <w:pPr>
        <w:pStyle w:val="ListParagraph"/>
        <w:numPr>
          <w:ilvl w:val="0"/>
          <w:numId w:val="1"/>
        </w:numPr>
        <w:rPr>
          <w:szCs w:val="18"/>
        </w:rPr>
      </w:pPr>
      <w:r>
        <w:rPr>
          <w:szCs w:val="18"/>
        </w:rPr>
        <w:t>Operating Band: The zone of overnight rates between the bank rate and the interest rate on bank deposits at the central bank.</w:t>
      </w:r>
    </w:p>
    <w:p w:rsidR="00E062C2" w:rsidRDefault="00E062C2" w:rsidP="00E062C2">
      <w:pPr>
        <w:pStyle w:val="ListParagraph"/>
        <w:numPr>
          <w:ilvl w:val="0"/>
          <w:numId w:val="1"/>
        </w:numPr>
        <w:rPr>
          <w:szCs w:val="18"/>
        </w:rPr>
      </w:pPr>
      <w:r>
        <w:rPr>
          <w:szCs w:val="18"/>
        </w:rPr>
        <w:t>Interest Rate on Deposits at the Central Bank: Rate of interest that banks receive on their deposits at the Bank of Canada as a result of the operation of the LVTS.</w:t>
      </w:r>
    </w:p>
    <w:p w:rsidR="00E062C2" w:rsidRDefault="00E062C2" w:rsidP="00E062C2">
      <w:pPr>
        <w:pStyle w:val="ListParagraph"/>
        <w:numPr>
          <w:ilvl w:val="0"/>
          <w:numId w:val="1"/>
        </w:numPr>
        <w:rPr>
          <w:szCs w:val="18"/>
        </w:rPr>
      </w:pPr>
      <w:r>
        <w:rPr>
          <w:szCs w:val="18"/>
        </w:rPr>
        <w:t>Bank Rate: The interest rate charged to banks that still have negative LVTS balances at the end of the day and therefore must borrow funds for one night from the Bank of Canada in order to settle with the LVTS</w:t>
      </w:r>
    </w:p>
    <w:p w:rsidR="00E062C2" w:rsidRDefault="00E062C2" w:rsidP="00E062C2">
      <w:pPr>
        <w:pStyle w:val="ListParagraph"/>
        <w:numPr>
          <w:ilvl w:val="0"/>
          <w:numId w:val="1"/>
        </w:numPr>
        <w:rPr>
          <w:szCs w:val="18"/>
        </w:rPr>
      </w:pPr>
      <w:r>
        <w:rPr>
          <w:szCs w:val="18"/>
        </w:rPr>
        <w:t>Corridor System: The Bank’s operating framework and that forces the overnight interest rate to remain close to the midpoint of the operating band as defined by the target overnight rate.</w:t>
      </w:r>
    </w:p>
    <w:p w:rsidR="000A4028" w:rsidRPr="000A4028" w:rsidRDefault="000A049F" w:rsidP="000A4028">
      <w:pPr>
        <w:pStyle w:val="ListParagraph"/>
        <w:numPr>
          <w:ilvl w:val="0"/>
          <w:numId w:val="1"/>
        </w:numPr>
        <w:rPr>
          <w:szCs w:val="18"/>
        </w:rPr>
      </w:pPr>
      <w:r w:rsidRPr="000A4028">
        <w:rPr>
          <w:szCs w:val="18"/>
          <w:lang w:val="en-US"/>
        </w:rPr>
        <w:t>The Canadian monetary policy implementation framework is such that the realized overnight interest rate is always, or nea</w:t>
      </w:r>
      <w:r w:rsidRPr="000A4028">
        <w:rPr>
          <w:szCs w:val="18"/>
          <w:lang w:val="en-US"/>
        </w:rPr>
        <w:t>rly always, at the midpoint of the operational band.</w:t>
      </w:r>
    </w:p>
    <w:p w:rsidR="00E062C2" w:rsidRDefault="00E062C2" w:rsidP="00E062C2">
      <w:pPr>
        <w:pStyle w:val="ListParagraph"/>
        <w:numPr>
          <w:ilvl w:val="0"/>
          <w:numId w:val="1"/>
        </w:numPr>
        <w:rPr>
          <w:szCs w:val="18"/>
        </w:rPr>
      </w:pPr>
      <w:r>
        <w:rPr>
          <w:szCs w:val="18"/>
        </w:rPr>
        <w:t>BOC acts as a price fixer in relation to the short-term interest rate.  It constrains the level of the overnight interest rate by setting both a floor and a ceiling to the values that can be taken by the overnight interest rate.</w:t>
      </w:r>
    </w:p>
    <w:p w:rsidR="00E062C2" w:rsidRDefault="00E062C2" w:rsidP="00E062C2">
      <w:pPr>
        <w:pStyle w:val="ListParagraph"/>
        <w:numPr>
          <w:ilvl w:val="0"/>
          <w:numId w:val="1"/>
        </w:numPr>
        <w:rPr>
          <w:szCs w:val="18"/>
        </w:rPr>
      </w:pPr>
      <w:r>
        <w:rPr>
          <w:szCs w:val="18"/>
        </w:rPr>
        <w:t>Standing Facilities: Routine monetary operations involving the central bank that banks can use at their discretion at any moment; they include both borrowing and deposit facilities</w:t>
      </w:r>
    </w:p>
    <w:p w:rsidR="00E062C2" w:rsidRDefault="00E062C2" w:rsidP="00E062C2">
      <w:pPr>
        <w:pStyle w:val="ListParagraph"/>
        <w:numPr>
          <w:ilvl w:val="0"/>
          <w:numId w:val="1"/>
        </w:numPr>
        <w:rPr>
          <w:szCs w:val="18"/>
        </w:rPr>
      </w:pPr>
      <w:r>
        <w:rPr>
          <w:szCs w:val="18"/>
        </w:rPr>
        <w:lastRenderedPageBreak/>
        <w:t>Payments go through two steps:</w:t>
      </w:r>
    </w:p>
    <w:p w:rsidR="00E062C2" w:rsidRDefault="00E062C2" w:rsidP="00E062C2">
      <w:pPr>
        <w:pStyle w:val="ListParagraph"/>
        <w:numPr>
          <w:ilvl w:val="1"/>
          <w:numId w:val="1"/>
        </w:numPr>
        <w:rPr>
          <w:szCs w:val="18"/>
        </w:rPr>
      </w:pPr>
      <w:r>
        <w:rPr>
          <w:szCs w:val="18"/>
        </w:rPr>
        <w:t xml:space="preserve">Clearing </w:t>
      </w:r>
      <w:r w:rsidRPr="00E062C2">
        <w:rPr>
          <w:szCs w:val="18"/>
        </w:rPr>
        <w:sym w:font="Wingdings" w:char="F0E0"/>
      </w:r>
      <w:r>
        <w:rPr>
          <w:szCs w:val="18"/>
        </w:rPr>
        <w:t xml:space="preserve"> The daily process by which banks exchange and deposit payment items for their clients and determine the net amounts owed to each</w:t>
      </w:r>
    </w:p>
    <w:p w:rsidR="00E062C2" w:rsidRDefault="00E062C2" w:rsidP="00E062C2">
      <w:pPr>
        <w:pStyle w:val="ListParagraph"/>
        <w:numPr>
          <w:ilvl w:val="1"/>
          <w:numId w:val="1"/>
        </w:numPr>
        <w:rPr>
          <w:szCs w:val="18"/>
        </w:rPr>
      </w:pPr>
      <w:r>
        <w:rPr>
          <w:szCs w:val="18"/>
        </w:rPr>
        <w:t xml:space="preserve">Settlement </w:t>
      </w:r>
      <w:r w:rsidRPr="00E062C2">
        <w:rPr>
          <w:szCs w:val="18"/>
        </w:rPr>
        <w:sym w:font="Wingdings" w:char="F0E0"/>
      </w:r>
      <w:r>
        <w:rPr>
          <w:szCs w:val="18"/>
        </w:rPr>
        <w:t xml:space="preserve"> Procedure in which banks use claims on the BOC to fulfill their net obligations to all other banks at the end of the day.</w:t>
      </w:r>
    </w:p>
    <w:p w:rsidR="00E062C2" w:rsidRDefault="00E062C2" w:rsidP="00E062C2">
      <w:pPr>
        <w:pStyle w:val="ListParagraph"/>
        <w:numPr>
          <w:ilvl w:val="0"/>
          <w:numId w:val="1"/>
        </w:numPr>
        <w:rPr>
          <w:szCs w:val="18"/>
        </w:rPr>
      </w:pPr>
      <w:r>
        <w:rPr>
          <w:szCs w:val="18"/>
        </w:rPr>
        <w:t>BOC is the settlement agent of LVTS</w:t>
      </w:r>
    </w:p>
    <w:p w:rsidR="00750460" w:rsidRDefault="00750460" w:rsidP="00E062C2">
      <w:pPr>
        <w:pStyle w:val="ListParagraph"/>
        <w:numPr>
          <w:ilvl w:val="0"/>
          <w:numId w:val="1"/>
        </w:numPr>
        <w:rPr>
          <w:szCs w:val="18"/>
        </w:rPr>
      </w:pPr>
      <w:r>
        <w:rPr>
          <w:szCs w:val="18"/>
        </w:rPr>
        <w:t>The realized overnight interest rate is always at the midpoint of the operational band, at the target overnight rate, or within just a few points of the target set by the BOC.</w:t>
      </w:r>
    </w:p>
    <w:p w:rsidR="00750460" w:rsidRDefault="00750460" w:rsidP="00750460">
      <w:pPr>
        <w:rPr>
          <w:szCs w:val="18"/>
        </w:rPr>
      </w:pPr>
    </w:p>
    <w:p w:rsidR="00750460" w:rsidRDefault="00750460" w:rsidP="00750460">
      <w:pPr>
        <w:rPr>
          <w:i/>
          <w:szCs w:val="18"/>
        </w:rPr>
      </w:pPr>
      <w:r>
        <w:rPr>
          <w:i/>
          <w:szCs w:val="18"/>
        </w:rPr>
        <w:t>Settlement Balances</w:t>
      </w:r>
    </w:p>
    <w:p w:rsidR="00750460" w:rsidRDefault="00A452DE" w:rsidP="00750460">
      <w:pPr>
        <w:pStyle w:val="ListParagraph"/>
        <w:numPr>
          <w:ilvl w:val="0"/>
          <w:numId w:val="1"/>
        </w:numPr>
        <w:rPr>
          <w:szCs w:val="18"/>
        </w:rPr>
      </w:pPr>
      <w:r>
        <w:rPr>
          <w:szCs w:val="18"/>
        </w:rPr>
        <w:t>Whenever a bank is in a deficit position, there is another bank that has an identical surplus position.</w:t>
      </w:r>
    </w:p>
    <w:p w:rsidR="00A452DE" w:rsidRDefault="00A452DE" w:rsidP="00750460">
      <w:pPr>
        <w:pStyle w:val="ListParagraph"/>
        <w:numPr>
          <w:ilvl w:val="0"/>
          <w:numId w:val="1"/>
        </w:numPr>
        <w:rPr>
          <w:szCs w:val="18"/>
        </w:rPr>
      </w:pPr>
      <w:r>
        <w:rPr>
          <w:szCs w:val="18"/>
        </w:rPr>
        <w:t>The net overall amount of LVTS balances held by banks should be zero at all times.</w:t>
      </w:r>
    </w:p>
    <w:p w:rsidR="00A452DE" w:rsidRDefault="00A452DE" w:rsidP="00750460">
      <w:pPr>
        <w:pStyle w:val="ListParagraph"/>
        <w:numPr>
          <w:ilvl w:val="0"/>
          <w:numId w:val="1"/>
        </w:numPr>
        <w:rPr>
          <w:szCs w:val="18"/>
        </w:rPr>
      </w:pPr>
      <w:r>
        <w:rPr>
          <w:szCs w:val="18"/>
        </w:rPr>
        <w:t>It is not zero when payment transfers involve the federal government or the BOC</w:t>
      </w:r>
    </w:p>
    <w:p w:rsidR="00A452DE" w:rsidRDefault="00A452DE" w:rsidP="00A452DE">
      <w:pPr>
        <w:pStyle w:val="ListParagraph"/>
        <w:numPr>
          <w:ilvl w:val="1"/>
          <w:numId w:val="1"/>
        </w:numPr>
        <w:rPr>
          <w:szCs w:val="18"/>
        </w:rPr>
      </w:pPr>
      <w:r>
        <w:rPr>
          <w:szCs w:val="18"/>
        </w:rPr>
        <w:t>When the government pays its employees or collects taxes</w:t>
      </w:r>
    </w:p>
    <w:p w:rsidR="00AC4FD4" w:rsidRDefault="00A452DE" w:rsidP="00AC4FD4">
      <w:pPr>
        <w:pStyle w:val="ListParagraph"/>
        <w:numPr>
          <w:ilvl w:val="1"/>
          <w:numId w:val="1"/>
        </w:numPr>
        <w:rPr>
          <w:szCs w:val="18"/>
        </w:rPr>
      </w:pPr>
      <w:r>
        <w:rPr>
          <w:szCs w:val="18"/>
        </w:rPr>
        <w:t>BOC purchases or sells foreign currencies on foreign exchange markets on behalf of the government, provides banks with currency, or when it undertakes transactions in government securities with banks or dealers</w:t>
      </w:r>
    </w:p>
    <w:p w:rsidR="00AC4FD4" w:rsidRDefault="00AC4FD4" w:rsidP="00AC4FD4">
      <w:pPr>
        <w:pStyle w:val="ListParagraph"/>
        <w:numPr>
          <w:ilvl w:val="0"/>
          <w:numId w:val="1"/>
        </w:numPr>
        <w:rPr>
          <w:szCs w:val="18"/>
        </w:rPr>
      </w:pPr>
      <w:r>
        <w:rPr>
          <w:szCs w:val="18"/>
        </w:rPr>
        <w:t>In all these instances, a bank may have a negative LVTS balance without another bank having a positive balance.</w:t>
      </w:r>
    </w:p>
    <w:p w:rsidR="00AC4FD4" w:rsidRDefault="00AC4FD4" w:rsidP="00AC4FD4">
      <w:pPr>
        <w:pStyle w:val="ListParagraph"/>
        <w:numPr>
          <w:ilvl w:val="0"/>
          <w:numId w:val="1"/>
        </w:numPr>
        <w:rPr>
          <w:szCs w:val="18"/>
        </w:rPr>
      </w:pPr>
      <w:r>
        <w:rPr>
          <w:szCs w:val="18"/>
        </w:rPr>
        <w:t>Settlement Payments:</w:t>
      </w:r>
      <w:r w:rsidR="006330B7">
        <w:rPr>
          <w:szCs w:val="18"/>
        </w:rPr>
        <w:t xml:space="preserve"> The net aggregate amount of LVTS balances held by the banks, that is, the sum of positive and negative LVTS balances of all of the banks.</w:t>
      </w:r>
    </w:p>
    <w:p w:rsidR="006330B7" w:rsidRDefault="006330B7" w:rsidP="00AC4FD4">
      <w:pPr>
        <w:pStyle w:val="ListParagraph"/>
        <w:numPr>
          <w:ilvl w:val="0"/>
          <w:numId w:val="1"/>
        </w:numPr>
        <w:rPr>
          <w:szCs w:val="18"/>
        </w:rPr>
      </w:pPr>
      <w:r>
        <w:rPr>
          <w:szCs w:val="18"/>
        </w:rPr>
        <w:t>BOC is the fiscal agent of the Canadian government</w:t>
      </w:r>
    </w:p>
    <w:p w:rsidR="006330B7" w:rsidRDefault="006330B7" w:rsidP="006330B7">
      <w:pPr>
        <w:pStyle w:val="ListParagraph"/>
        <w:numPr>
          <w:ilvl w:val="1"/>
          <w:numId w:val="1"/>
        </w:numPr>
        <w:rPr>
          <w:szCs w:val="18"/>
        </w:rPr>
      </w:pPr>
      <w:r>
        <w:rPr>
          <w:szCs w:val="18"/>
        </w:rPr>
        <w:t>Handles the payments to the federal government</w:t>
      </w:r>
    </w:p>
    <w:p w:rsidR="006330B7" w:rsidRDefault="006330B7" w:rsidP="006330B7">
      <w:pPr>
        <w:pStyle w:val="ListParagraph"/>
        <w:numPr>
          <w:ilvl w:val="0"/>
          <w:numId w:val="1"/>
        </w:numPr>
        <w:rPr>
          <w:szCs w:val="18"/>
        </w:rPr>
      </w:pPr>
      <w:r>
        <w:rPr>
          <w:szCs w:val="18"/>
        </w:rPr>
        <w:t>Settlement-Balance Management: The action that the bank of Canada takes to neutralize the impact of government transactions, thus bringing back the supply of settlement balances to their desired levels, usually zero</w:t>
      </w:r>
    </w:p>
    <w:p w:rsidR="006330B7" w:rsidRDefault="006330B7" w:rsidP="008344E9">
      <w:pPr>
        <w:rPr>
          <w:szCs w:val="18"/>
        </w:rPr>
      </w:pPr>
    </w:p>
    <w:p w:rsidR="008344E9" w:rsidRDefault="008344E9" w:rsidP="008344E9">
      <w:pPr>
        <w:rPr>
          <w:szCs w:val="18"/>
        </w:rPr>
      </w:pPr>
      <w:r>
        <w:rPr>
          <w:i/>
          <w:szCs w:val="18"/>
        </w:rPr>
        <w:t>Government Deposit Shifting</w:t>
      </w:r>
    </w:p>
    <w:p w:rsidR="008344E9" w:rsidRDefault="008344E9" w:rsidP="008344E9">
      <w:pPr>
        <w:pStyle w:val="ListParagraph"/>
        <w:numPr>
          <w:ilvl w:val="0"/>
          <w:numId w:val="1"/>
        </w:numPr>
        <w:rPr>
          <w:szCs w:val="18"/>
        </w:rPr>
      </w:pPr>
      <w:r>
        <w:rPr>
          <w:szCs w:val="18"/>
        </w:rPr>
        <w:t>When the government receives a payment (taxes), the banking system as a whole is put into a negative settlement-balance position</w:t>
      </w:r>
    </w:p>
    <w:p w:rsidR="008344E9" w:rsidRDefault="008344E9" w:rsidP="008344E9">
      <w:pPr>
        <w:pStyle w:val="ListParagraph"/>
        <w:numPr>
          <w:ilvl w:val="0"/>
          <w:numId w:val="1"/>
        </w:numPr>
        <w:rPr>
          <w:szCs w:val="18"/>
        </w:rPr>
      </w:pPr>
      <w:r>
        <w:rPr>
          <w:szCs w:val="18"/>
        </w:rPr>
        <w:t>When the government makes a payment (expenditures) banking system = positive settlement-balance position.</w:t>
      </w:r>
    </w:p>
    <w:p w:rsidR="008344E9" w:rsidRDefault="008344E9" w:rsidP="008344E9">
      <w:pPr>
        <w:pStyle w:val="ListParagraph"/>
        <w:numPr>
          <w:ilvl w:val="0"/>
          <w:numId w:val="1"/>
        </w:numPr>
        <w:rPr>
          <w:szCs w:val="18"/>
        </w:rPr>
      </w:pPr>
      <w:r>
        <w:rPr>
          <w:szCs w:val="18"/>
        </w:rPr>
        <w:t>To neutralize the negative effects the BOC shifts government deposits from its own accounts to banks</w:t>
      </w:r>
    </w:p>
    <w:p w:rsidR="008344E9" w:rsidRDefault="008344E9" w:rsidP="008344E9">
      <w:pPr>
        <w:pStyle w:val="ListParagraph"/>
        <w:numPr>
          <w:ilvl w:val="0"/>
          <w:numId w:val="1"/>
        </w:numPr>
        <w:rPr>
          <w:szCs w:val="18"/>
        </w:rPr>
      </w:pPr>
      <w:r>
        <w:rPr>
          <w:szCs w:val="18"/>
        </w:rPr>
        <w:t>To neutralize the positive effects the BOC shifts government deposits from the banks to its own accounts.</w:t>
      </w:r>
    </w:p>
    <w:p w:rsidR="008344E9" w:rsidRDefault="008344E9" w:rsidP="008344E9">
      <w:pPr>
        <w:pStyle w:val="ListParagraph"/>
        <w:numPr>
          <w:ilvl w:val="0"/>
          <w:numId w:val="1"/>
        </w:numPr>
        <w:rPr>
          <w:szCs w:val="18"/>
        </w:rPr>
      </w:pPr>
      <w:r>
        <w:rPr>
          <w:szCs w:val="18"/>
        </w:rPr>
        <w:t>Transfers occur twice a day.</w:t>
      </w:r>
    </w:p>
    <w:p w:rsidR="008344E9" w:rsidRDefault="00C9474C" w:rsidP="008344E9">
      <w:pPr>
        <w:pStyle w:val="ListParagraph"/>
        <w:numPr>
          <w:ilvl w:val="0"/>
          <w:numId w:val="1"/>
        </w:numPr>
        <w:rPr>
          <w:szCs w:val="18"/>
        </w:rPr>
      </w:pPr>
      <w:r>
        <w:rPr>
          <w:szCs w:val="18"/>
        </w:rPr>
        <w:t>The BOC targets a settlement amount of zero</w:t>
      </w:r>
    </w:p>
    <w:p w:rsidR="00C9474C" w:rsidRDefault="00C9474C" w:rsidP="00C9474C">
      <w:pPr>
        <w:rPr>
          <w:szCs w:val="18"/>
        </w:rPr>
      </w:pPr>
    </w:p>
    <w:p w:rsidR="00C9474C" w:rsidRDefault="00C9474C" w:rsidP="00C9474C">
      <w:pPr>
        <w:rPr>
          <w:i/>
          <w:szCs w:val="18"/>
        </w:rPr>
      </w:pPr>
      <w:r>
        <w:rPr>
          <w:i/>
          <w:szCs w:val="18"/>
        </w:rPr>
        <w:t>The Supply Base of Money</w:t>
      </w:r>
    </w:p>
    <w:p w:rsidR="00D50346" w:rsidRDefault="00920D55" w:rsidP="00D50346">
      <w:pPr>
        <w:pStyle w:val="ListParagraph"/>
        <w:numPr>
          <w:ilvl w:val="0"/>
          <w:numId w:val="1"/>
        </w:numPr>
        <w:rPr>
          <w:szCs w:val="18"/>
        </w:rPr>
      </w:pPr>
      <w:r>
        <w:rPr>
          <w:szCs w:val="18"/>
        </w:rPr>
        <w:t>Bank deposits at the BOC are zero or very close to zero, as are advances by the BOC</w:t>
      </w:r>
    </w:p>
    <w:p w:rsidR="00920D55" w:rsidRDefault="00920D55" w:rsidP="00D50346">
      <w:pPr>
        <w:pStyle w:val="ListParagraph"/>
        <w:numPr>
          <w:ilvl w:val="0"/>
          <w:numId w:val="1"/>
        </w:numPr>
        <w:rPr>
          <w:szCs w:val="18"/>
        </w:rPr>
      </w:pPr>
      <w:r>
        <w:rPr>
          <w:szCs w:val="18"/>
        </w:rPr>
        <w:t>There are unusual situations where the balance is not close to zero, usually economic catastrophes</w:t>
      </w:r>
    </w:p>
    <w:p w:rsidR="00920D55" w:rsidRDefault="00920D55" w:rsidP="00D50346">
      <w:pPr>
        <w:pStyle w:val="ListParagraph"/>
        <w:numPr>
          <w:ilvl w:val="0"/>
          <w:numId w:val="1"/>
        </w:numPr>
        <w:rPr>
          <w:szCs w:val="18"/>
        </w:rPr>
      </w:pPr>
      <w:r>
        <w:rPr>
          <w:szCs w:val="18"/>
        </w:rPr>
        <w:t xml:space="preserve">Base Money: Made up of two components of the liability side of the balance sheet of the central bank: currency </w:t>
      </w:r>
      <w:r w:rsidR="000A049F">
        <w:rPr>
          <w:szCs w:val="18"/>
        </w:rPr>
        <w:t>held by the public and deposits received at the central bank.</w:t>
      </w:r>
    </w:p>
    <w:p w:rsidR="000A049F" w:rsidRPr="000A049F" w:rsidRDefault="000A049F" w:rsidP="000A049F">
      <w:pPr>
        <w:pStyle w:val="ListParagraph"/>
        <w:numPr>
          <w:ilvl w:val="0"/>
          <w:numId w:val="1"/>
        </w:numPr>
        <w:rPr>
          <w:szCs w:val="18"/>
        </w:rPr>
      </w:pPr>
      <w:r w:rsidRPr="000A049F">
        <w:rPr>
          <w:szCs w:val="18"/>
          <w:lang w:val="en-US"/>
        </w:rPr>
        <w:lastRenderedPageBreak/>
        <w:t xml:space="preserve">We can say that there is a horizontal supply of base money at the </w:t>
      </w:r>
      <w:r w:rsidRPr="000A049F">
        <w:rPr>
          <w:szCs w:val="18"/>
        </w:rPr>
        <w:t>target overnight interest rate.</w:t>
      </w:r>
      <w:r w:rsidRPr="000A049F">
        <w:rPr>
          <w:szCs w:val="18"/>
          <w:lang w:val="en-US"/>
        </w:rPr>
        <w:t xml:space="preserve"> </w:t>
      </w:r>
    </w:p>
    <w:p w:rsidR="00920D55" w:rsidRDefault="00920D55" w:rsidP="00920D55">
      <w:pPr>
        <w:rPr>
          <w:szCs w:val="18"/>
        </w:rPr>
      </w:pPr>
    </w:p>
    <w:p w:rsidR="00920D55" w:rsidRDefault="00920D55" w:rsidP="00920D55">
      <w:pPr>
        <w:rPr>
          <w:szCs w:val="18"/>
        </w:rPr>
      </w:pPr>
      <w:r>
        <w:rPr>
          <w:i/>
          <w:szCs w:val="18"/>
        </w:rPr>
        <w:t>Open-Market Operations and Buyback Operations</w:t>
      </w:r>
    </w:p>
    <w:p w:rsidR="00920D55" w:rsidRDefault="00920D55" w:rsidP="00920D55">
      <w:pPr>
        <w:pStyle w:val="ListParagraph"/>
        <w:numPr>
          <w:ilvl w:val="0"/>
          <w:numId w:val="1"/>
        </w:numPr>
        <w:rPr>
          <w:szCs w:val="18"/>
        </w:rPr>
      </w:pPr>
      <w:r>
        <w:rPr>
          <w:szCs w:val="18"/>
        </w:rPr>
        <w:t>Open-Market Operations: Refer to the sale or purchase of government securities by the BOC through transactions in the open market.</w:t>
      </w:r>
    </w:p>
    <w:p w:rsidR="00920D55" w:rsidRDefault="00EC64CE" w:rsidP="00920D55">
      <w:pPr>
        <w:pStyle w:val="ListParagraph"/>
        <w:numPr>
          <w:ilvl w:val="0"/>
          <w:numId w:val="1"/>
        </w:numPr>
        <w:rPr>
          <w:szCs w:val="18"/>
        </w:rPr>
      </w:pPr>
      <w:r>
        <w:rPr>
          <w:szCs w:val="18"/>
        </w:rPr>
        <w:t>Buyback Operations: Occur on the repo market, are sales of securities accompanied by promises to repurchase the securities at a predetermined price on a specific day, usually the next</w:t>
      </w:r>
    </w:p>
    <w:p w:rsidR="00C71468" w:rsidRPr="00920D55" w:rsidRDefault="00C71468" w:rsidP="00920D55">
      <w:pPr>
        <w:pStyle w:val="ListParagraph"/>
        <w:numPr>
          <w:ilvl w:val="0"/>
          <w:numId w:val="1"/>
        </w:numPr>
        <w:rPr>
          <w:szCs w:val="18"/>
        </w:rPr>
      </w:pPr>
      <w:r>
        <w:rPr>
          <w:szCs w:val="18"/>
        </w:rPr>
        <w:t>Central bank purchases of securities increase the amount of settlement balances and tend to decrease the overnight interest rates.  Central bank sales of securities decrease the amount of settlement balances and tend to increase the overnight interest rates.</w:t>
      </w:r>
    </w:p>
    <w:sectPr w:rsidR="00C71468" w:rsidRPr="00920D55"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71E35"/>
    <w:multiLevelType w:val="hybridMultilevel"/>
    <w:tmpl w:val="25A81520"/>
    <w:lvl w:ilvl="0" w:tplc="B6F67C76">
      <w:start w:val="1"/>
      <w:numFmt w:val="bullet"/>
      <w:lvlText w:val="♦"/>
      <w:lvlJc w:val="left"/>
      <w:pPr>
        <w:tabs>
          <w:tab w:val="num" w:pos="720"/>
        </w:tabs>
        <w:ind w:left="720" w:hanging="360"/>
      </w:pPr>
      <w:rPr>
        <w:rFonts w:ascii="Times New Roman" w:hAnsi="Times New Roman" w:hint="default"/>
      </w:rPr>
    </w:lvl>
    <w:lvl w:ilvl="1" w:tplc="45321310">
      <w:start w:val="1"/>
      <w:numFmt w:val="bullet"/>
      <w:lvlText w:val="♦"/>
      <w:lvlJc w:val="left"/>
      <w:pPr>
        <w:tabs>
          <w:tab w:val="num" w:pos="1440"/>
        </w:tabs>
        <w:ind w:left="1440" w:hanging="360"/>
      </w:pPr>
      <w:rPr>
        <w:rFonts w:ascii="Times New Roman" w:hAnsi="Times New Roman" w:hint="default"/>
      </w:rPr>
    </w:lvl>
    <w:lvl w:ilvl="2" w:tplc="8EFA7CD8" w:tentative="1">
      <w:start w:val="1"/>
      <w:numFmt w:val="bullet"/>
      <w:lvlText w:val="♦"/>
      <w:lvlJc w:val="left"/>
      <w:pPr>
        <w:tabs>
          <w:tab w:val="num" w:pos="2160"/>
        </w:tabs>
        <w:ind w:left="2160" w:hanging="360"/>
      </w:pPr>
      <w:rPr>
        <w:rFonts w:ascii="Times New Roman" w:hAnsi="Times New Roman" w:hint="default"/>
      </w:rPr>
    </w:lvl>
    <w:lvl w:ilvl="3" w:tplc="09E85962" w:tentative="1">
      <w:start w:val="1"/>
      <w:numFmt w:val="bullet"/>
      <w:lvlText w:val="♦"/>
      <w:lvlJc w:val="left"/>
      <w:pPr>
        <w:tabs>
          <w:tab w:val="num" w:pos="2880"/>
        </w:tabs>
        <w:ind w:left="2880" w:hanging="360"/>
      </w:pPr>
      <w:rPr>
        <w:rFonts w:ascii="Times New Roman" w:hAnsi="Times New Roman" w:hint="default"/>
      </w:rPr>
    </w:lvl>
    <w:lvl w:ilvl="4" w:tplc="957645EE" w:tentative="1">
      <w:start w:val="1"/>
      <w:numFmt w:val="bullet"/>
      <w:lvlText w:val="♦"/>
      <w:lvlJc w:val="left"/>
      <w:pPr>
        <w:tabs>
          <w:tab w:val="num" w:pos="3600"/>
        </w:tabs>
        <w:ind w:left="3600" w:hanging="360"/>
      </w:pPr>
      <w:rPr>
        <w:rFonts w:ascii="Times New Roman" w:hAnsi="Times New Roman" w:hint="default"/>
      </w:rPr>
    </w:lvl>
    <w:lvl w:ilvl="5" w:tplc="2DE4EC54" w:tentative="1">
      <w:start w:val="1"/>
      <w:numFmt w:val="bullet"/>
      <w:lvlText w:val="♦"/>
      <w:lvlJc w:val="left"/>
      <w:pPr>
        <w:tabs>
          <w:tab w:val="num" w:pos="4320"/>
        </w:tabs>
        <w:ind w:left="4320" w:hanging="360"/>
      </w:pPr>
      <w:rPr>
        <w:rFonts w:ascii="Times New Roman" w:hAnsi="Times New Roman" w:hint="default"/>
      </w:rPr>
    </w:lvl>
    <w:lvl w:ilvl="6" w:tplc="02D868D8" w:tentative="1">
      <w:start w:val="1"/>
      <w:numFmt w:val="bullet"/>
      <w:lvlText w:val="♦"/>
      <w:lvlJc w:val="left"/>
      <w:pPr>
        <w:tabs>
          <w:tab w:val="num" w:pos="5040"/>
        </w:tabs>
        <w:ind w:left="5040" w:hanging="360"/>
      </w:pPr>
      <w:rPr>
        <w:rFonts w:ascii="Times New Roman" w:hAnsi="Times New Roman" w:hint="default"/>
      </w:rPr>
    </w:lvl>
    <w:lvl w:ilvl="7" w:tplc="9BE2BCAC" w:tentative="1">
      <w:start w:val="1"/>
      <w:numFmt w:val="bullet"/>
      <w:lvlText w:val="♦"/>
      <w:lvlJc w:val="left"/>
      <w:pPr>
        <w:tabs>
          <w:tab w:val="num" w:pos="5760"/>
        </w:tabs>
        <w:ind w:left="5760" w:hanging="360"/>
      </w:pPr>
      <w:rPr>
        <w:rFonts w:ascii="Times New Roman" w:hAnsi="Times New Roman" w:hint="default"/>
      </w:rPr>
    </w:lvl>
    <w:lvl w:ilvl="8" w:tplc="ACA0EBA4" w:tentative="1">
      <w:start w:val="1"/>
      <w:numFmt w:val="bullet"/>
      <w:lvlText w:val="♦"/>
      <w:lvlJc w:val="left"/>
      <w:pPr>
        <w:tabs>
          <w:tab w:val="num" w:pos="6480"/>
        </w:tabs>
        <w:ind w:left="6480" w:hanging="360"/>
      </w:pPr>
      <w:rPr>
        <w:rFonts w:ascii="Times New Roman" w:hAnsi="Times New Roman" w:hint="default"/>
      </w:rPr>
    </w:lvl>
  </w:abstractNum>
  <w:abstractNum w:abstractNumId="1">
    <w:nsid w:val="21BB2CD3"/>
    <w:multiLevelType w:val="hybridMultilevel"/>
    <w:tmpl w:val="A0C29A8C"/>
    <w:lvl w:ilvl="0" w:tplc="647EA446">
      <w:start w:val="1"/>
      <w:numFmt w:val="bullet"/>
      <w:lvlText w:val="♦"/>
      <w:lvlJc w:val="left"/>
      <w:pPr>
        <w:tabs>
          <w:tab w:val="num" w:pos="720"/>
        </w:tabs>
        <w:ind w:left="720" w:hanging="360"/>
      </w:pPr>
      <w:rPr>
        <w:rFonts w:ascii="Times New Roman" w:hAnsi="Times New Roman" w:hint="default"/>
      </w:rPr>
    </w:lvl>
    <w:lvl w:ilvl="1" w:tplc="C0003E6A">
      <w:start w:val="1"/>
      <w:numFmt w:val="bullet"/>
      <w:lvlText w:val="♦"/>
      <w:lvlJc w:val="left"/>
      <w:pPr>
        <w:tabs>
          <w:tab w:val="num" w:pos="1440"/>
        </w:tabs>
        <w:ind w:left="1440" w:hanging="360"/>
      </w:pPr>
      <w:rPr>
        <w:rFonts w:ascii="Times New Roman" w:hAnsi="Times New Roman" w:hint="default"/>
      </w:rPr>
    </w:lvl>
    <w:lvl w:ilvl="2" w:tplc="D92AB4F0" w:tentative="1">
      <w:start w:val="1"/>
      <w:numFmt w:val="bullet"/>
      <w:lvlText w:val="♦"/>
      <w:lvlJc w:val="left"/>
      <w:pPr>
        <w:tabs>
          <w:tab w:val="num" w:pos="2160"/>
        </w:tabs>
        <w:ind w:left="2160" w:hanging="360"/>
      </w:pPr>
      <w:rPr>
        <w:rFonts w:ascii="Times New Roman" w:hAnsi="Times New Roman" w:hint="default"/>
      </w:rPr>
    </w:lvl>
    <w:lvl w:ilvl="3" w:tplc="064E410C" w:tentative="1">
      <w:start w:val="1"/>
      <w:numFmt w:val="bullet"/>
      <w:lvlText w:val="♦"/>
      <w:lvlJc w:val="left"/>
      <w:pPr>
        <w:tabs>
          <w:tab w:val="num" w:pos="2880"/>
        </w:tabs>
        <w:ind w:left="2880" w:hanging="360"/>
      </w:pPr>
      <w:rPr>
        <w:rFonts w:ascii="Times New Roman" w:hAnsi="Times New Roman" w:hint="default"/>
      </w:rPr>
    </w:lvl>
    <w:lvl w:ilvl="4" w:tplc="D16E1FFA" w:tentative="1">
      <w:start w:val="1"/>
      <w:numFmt w:val="bullet"/>
      <w:lvlText w:val="♦"/>
      <w:lvlJc w:val="left"/>
      <w:pPr>
        <w:tabs>
          <w:tab w:val="num" w:pos="3600"/>
        </w:tabs>
        <w:ind w:left="3600" w:hanging="360"/>
      </w:pPr>
      <w:rPr>
        <w:rFonts w:ascii="Times New Roman" w:hAnsi="Times New Roman" w:hint="default"/>
      </w:rPr>
    </w:lvl>
    <w:lvl w:ilvl="5" w:tplc="4348AACA" w:tentative="1">
      <w:start w:val="1"/>
      <w:numFmt w:val="bullet"/>
      <w:lvlText w:val="♦"/>
      <w:lvlJc w:val="left"/>
      <w:pPr>
        <w:tabs>
          <w:tab w:val="num" w:pos="4320"/>
        </w:tabs>
        <w:ind w:left="4320" w:hanging="360"/>
      </w:pPr>
      <w:rPr>
        <w:rFonts w:ascii="Times New Roman" w:hAnsi="Times New Roman" w:hint="default"/>
      </w:rPr>
    </w:lvl>
    <w:lvl w:ilvl="6" w:tplc="8954F678" w:tentative="1">
      <w:start w:val="1"/>
      <w:numFmt w:val="bullet"/>
      <w:lvlText w:val="♦"/>
      <w:lvlJc w:val="left"/>
      <w:pPr>
        <w:tabs>
          <w:tab w:val="num" w:pos="5040"/>
        </w:tabs>
        <w:ind w:left="5040" w:hanging="360"/>
      </w:pPr>
      <w:rPr>
        <w:rFonts w:ascii="Times New Roman" w:hAnsi="Times New Roman" w:hint="default"/>
      </w:rPr>
    </w:lvl>
    <w:lvl w:ilvl="7" w:tplc="1674A630" w:tentative="1">
      <w:start w:val="1"/>
      <w:numFmt w:val="bullet"/>
      <w:lvlText w:val="♦"/>
      <w:lvlJc w:val="left"/>
      <w:pPr>
        <w:tabs>
          <w:tab w:val="num" w:pos="5760"/>
        </w:tabs>
        <w:ind w:left="5760" w:hanging="360"/>
      </w:pPr>
      <w:rPr>
        <w:rFonts w:ascii="Times New Roman" w:hAnsi="Times New Roman" w:hint="default"/>
      </w:rPr>
    </w:lvl>
    <w:lvl w:ilvl="8" w:tplc="EA323684" w:tentative="1">
      <w:start w:val="1"/>
      <w:numFmt w:val="bullet"/>
      <w:lvlText w:val="♦"/>
      <w:lvlJc w:val="left"/>
      <w:pPr>
        <w:tabs>
          <w:tab w:val="num" w:pos="6480"/>
        </w:tabs>
        <w:ind w:left="6480" w:hanging="360"/>
      </w:pPr>
      <w:rPr>
        <w:rFonts w:ascii="Times New Roman" w:hAnsi="Times New Roman" w:hint="default"/>
      </w:rPr>
    </w:lvl>
  </w:abstractNum>
  <w:abstractNum w:abstractNumId="2">
    <w:nsid w:val="25433ABF"/>
    <w:multiLevelType w:val="hybridMultilevel"/>
    <w:tmpl w:val="FAAC2102"/>
    <w:lvl w:ilvl="0" w:tplc="C2E67C54">
      <w:start w:val="1"/>
      <w:numFmt w:val="bullet"/>
      <w:lvlText w:val="♦"/>
      <w:lvlJc w:val="left"/>
      <w:pPr>
        <w:tabs>
          <w:tab w:val="num" w:pos="720"/>
        </w:tabs>
        <w:ind w:left="720" w:hanging="360"/>
      </w:pPr>
      <w:rPr>
        <w:rFonts w:ascii="Times New Roman" w:hAnsi="Times New Roman" w:hint="default"/>
      </w:rPr>
    </w:lvl>
    <w:lvl w:ilvl="1" w:tplc="15188614">
      <w:start w:val="1"/>
      <w:numFmt w:val="bullet"/>
      <w:lvlText w:val="♦"/>
      <w:lvlJc w:val="left"/>
      <w:pPr>
        <w:tabs>
          <w:tab w:val="num" w:pos="1440"/>
        </w:tabs>
        <w:ind w:left="1440" w:hanging="360"/>
      </w:pPr>
      <w:rPr>
        <w:rFonts w:ascii="Times New Roman" w:hAnsi="Times New Roman" w:hint="default"/>
      </w:rPr>
    </w:lvl>
    <w:lvl w:ilvl="2" w:tplc="17B83340" w:tentative="1">
      <w:start w:val="1"/>
      <w:numFmt w:val="bullet"/>
      <w:lvlText w:val="♦"/>
      <w:lvlJc w:val="left"/>
      <w:pPr>
        <w:tabs>
          <w:tab w:val="num" w:pos="2160"/>
        </w:tabs>
        <w:ind w:left="2160" w:hanging="360"/>
      </w:pPr>
      <w:rPr>
        <w:rFonts w:ascii="Times New Roman" w:hAnsi="Times New Roman" w:hint="default"/>
      </w:rPr>
    </w:lvl>
    <w:lvl w:ilvl="3" w:tplc="84369CBA" w:tentative="1">
      <w:start w:val="1"/>
      <w:numFmt w:val="bullet"/>
      <w:lvlText w:val="♦"/>
      <w:lvlJc w:val="left"/>
      <w:pPr>
        <w:tabs>
          <w:tab w:val="num" w:pos="2880"/>
        </w:tabs>
        <w:ind w:left="2880" w:hanging="360"/>
      </w:pPr>
      <w:rPr>
        <w:rFonts w:ascii="Times New Roman" w:hAnsi="Times New Roman" w:hint="default"/>
      </w:rPr>
    </w:lvl>
    <w:lvl w:ilvl="4" w:tplc="17764E6E" w:tentative="1">
      <w:start w:val="1"/>
      <w:numFmt w:val="bullet"/>
      <w:lvlText w:val="♦"/>
      <w:lvlJc w:val="left"/>
      <w:pPr>
        <w:tabs>
          <w:tab w:val="num" w:pos="3600"/>
        </w:tabs>
        <w:ind w:left="3600" w:hanging="360"/>
      </w:pPr>
      <w:rPr>
        <w:rFonts w:ascii="Times New Roman" w:hAnsi="Times New Roman" w:hint="default"/>
      </w:rPr>
    </w:lvl>
    <w:lvl w:ilvl="5" w:tplc="4BCC38D4" w:tentative="1">
      <w:start w:val="1"/>
      <w:numFmt w:val="bullet"/>
      <w:lvlText w:val="♦"/>
      <w:lvlJc w:val="left"/>
      <w:pPr>
        <w:tabs>
          <w:tab w:val="num" w:pos="4320"/>
        </w:tabs>
        <w:ind w:left="4320" w:hanging="360"/>
      </w:pPr>
      <w:rPr>
        <w:rFonts w:ascii="Times New Roman" w:hAnsi="Times New Roman" w:hint="default"/>
      </w:rPr>
    </w:lvl>
    <w:lvl w:ilvl="6" w:tplc="8278AEEC" w:tentative="1">
      <w:start w:val="1"/>
      <w:numFmt w:val="bullet"/>
      <w:lvlText w:val="♦"/>
      <w:lvlJc w:val="left"/>
      <w:pPr>
        <w:tabs>
          <w:tab w:val="num" w:pos="5040"/>
        </w:tabs>
        <w:ind w:left="5040" w:hanging="360"/>
      </w:pPr>
      <w:rPr>
        <w:rFonts w:ascii="Times New Roman" w:hAnsi="Times New Roman" w:hint="default"/>
      </w:rPr>
    </w:lvl>
    <w:lvl w:ilvl="7" w:tplc="1DAEF1EA" w:tentative="1">
      <w:start w:val="1"/>
      <w:numFmt w:val="bullet"/>
      <w:lvlText w:val="♦"/>
      <w:lvlJc w:val="left"/>
      <w:pPr>
        <w:tabs>
          <w:tab w:val="num" w:pos="5760"/>
        </w:tabs>
        <w:ind w:left="5760" w:hanging="360"/>
      </w:pPr>
      <w:rPr>
        <w:rFonts w:ascii="Times New Roman" w:hAnsi="Times New Roman" w:hint="default"/>
      </w:rPr>
    </w:lvl>
    <w:lvl w:ilvl="8" w:tplc="48BA8794" w:tentative="1">
      <w:start w:val="1"/>
      <w:numFmt w:val="bullet"/>
      <w:lvlText w:val="♦"/>
      <w:lvlJc w:val="left"/>
      <w:pPr>
        <w:tabs>
          <w:tab w:val="num" w:pos="6480"/>
        </w:tabs>
        <w:ind w:left="6480" w:hanging="360"/>
      </w:pPr>
      <w:rPr>
        <w:rFonts w:ascii="Times New Roman" w:hAnsi="Times New Roman" w:hint="default"/>
      </w:rPr>
    </w:lvl>
  </w:abstractNum>
  <w:abstractNum w:abstractNumId="3">
    <w:nsid w:val="43AA1782"/>
    <w:multiLevelType w:val="hybridMultilevel"/>
    <w:tmpl w:val="2110B574"/>
    <w:lvl w:ilvl="0" w:tplc="BB9CCFBA">
      <w:start w:val="1"/>
      <w:numFmt w:val="bullet"/>
      <w:lvlText w:val="●"/>
      <w:lvlJc w:val="left"/>
      <w:pPr>
        <w:tabs>
          <w:tab w:val="num" w:pos="720"/>
        </w:tabs>
        <w:ind w:left="720" w:hanging="360"/>
      </w:pPr>
      <w:rPr>
        <w:rFonts w:ascii="Times New Roman" w:hAnsi="Times New Roman" w:hint="default"/>
      </w:rPr>
    </w:lvl>
    <w:lvl w:ilvl="1" w:tplc="CA7C6A36" w:tentative="1">
      <w:start w:val="1"/>
      <w:numFmt w:val="bullet"/>
      <w:lvlText w:val="●"/>
      <w:lvlJc w:val="left"/>
      <w:pPr>
        <w:tabs>
          <w:tab w:val="num" w:pos="1440"/>
        </w:tabs>
        <w:ind w:left="1440" w:hanging="360"/>
      </w:pPr>
      <w:rPr>
        <w:rFonts w:ascii="Times New Roman" w:hAnsi="Times New Roman" w:hint="default"/>
      </w:rPr>
    </w:lvl>
    <w:lvl w:ilvl="2" w:tplc="FDD2FCC0" w:tentative="1">
      <w:start w:val="1"/>
      <w:numFmt w:val="bullet"/>
      <w:lvlText w:val="●"/>
      <w:lvlJc w:val="left"/>
      <w:pPr>
        <w:tabs>
          <w:tab w:val="num" w:pos="2160"/>
        </w:tabs>
        <w:ind w:left="2160" w:hanging="360"/>
      </w:pPr>
      <w:rPr>
        <w:rFonts w:ascii="Times New Roman" w:hAnsi="Times New Roman" w:hint="default"/>
      </w:rPr>
    </w:lvl>
    <w:lvl w:ilvl="3" w:tplc="F9B68028" w:tentative="1">
      <w:start w:val="1"/>
      <w:numFmt w:val="bullet"/>
      <w:lvlText w:val="●"/>
      <w:lvlJc w:val="left"/>
      <w:pPr>
        <w:tabs>
          <w:tab w:val="num" w:pos="2880"/>
        </w:tabs>
        <w:ind w:left="2880" w:hanging="360"/>
      </w:pPr>
      <w:rPr>
        <w:rFonts w:ascii="Times New Roman" w:hAnsi="Times New Roman" w:hint="default"/>
      </w:rPr>
    </w:lvl>
    <w:lvl w:ilvl="4" w:tplc="ED8C9866" w:tentative="1">
      <w:start w:val="1"/>
      <w:numFmt w:val="bullet"/>
      <w:lvlText w:val="●"/>
      <w:lvlJc w:val="left"/>
      <w:pPr>
        <w:tabs>
          <w:tab w:val="num" w:pos="3600"/>
        </w:tabs>
        <w:ind w:left="3600" w:hanging="360"/>
      </w:pPr>
      <w:rPr>
        <w:rFonts w:ascii="Times New Roman" w:hAnsi="Times New Roman" w:hint="default"/>
      </w:rPr>
    </w:lvl>
    <w:lvl w:ilvl="5" w:tplc="01C2D116" w:tentative="1">
      <w:start w:val="1"/>
      <w:numFmt w:val="bullet"/>
      <w:lvlText w:val="●"/>
      <w:lvlJc w:val="left"/>
      <w:pPr>
        <w:tabs>
          <w:tab w:val="num" w:pos="4320"/>
        </w:tabs>
        <w:ind w:left="4320" w:hanging="360"/>
      </w:pPr>
      <w:rPr>
        <w:rFonts w:ascii="Times New Roman" w:hAnsi="Times New Roman" w:hint="default"/>
      </w:rPr>
    </w:lvl>
    <w:lvl w:ilvl="6" w:tplc="EA324812" w:tentative="1">
      <w:start w:val="1"/>
      <w:numFmt w:val="bullet"/>
      <w:lvlText w:val="●"/>
      <w:lvlJc w:val="left"/>
      <w:pPr>
        <w:tabs>
          <w:tab w:val="num" w:pos="5040"/>
        </w:tabs>
        <w:ind w:left="5040" w:hanging="360"/>
      </w:pPr>
      <w:rPr>
        <w:rFonts w:ascii="Times New Roman" w:hAnsi="Times New Roman" w:hint="default"/>
      </w:rPr>
    </w:lvl>
    <w:lvl w:ilvl="7" w:tplc="668466A2" w:tentative="1">
      <w:start w:val="1"/>
      <w:numFmt w:val="bullet"/>
      <w:lvlText w:val="●"/>
      <w:lvlJc w:val="left"/>
      <w:pPr>
        <w:tabs>
          <w:tab w:val="num" w:pos="5760"/>
        </w:tabs>
        <w:ind w:left="5760" w:hanging="360"/>
      </w:pPr>
      <w:rPr>
        <w:rFonts w:ascii="Times New Roman" w:hAnsi="Times New Roman" w:hint="default"/>
      </w:rPr>
    </w:lvl>
    <w:lvl w:ilvl="8" w:tplc="BF7A3714" w:tentative="1">
      <w:start w:val="1"/>
      <w:numFmt w:val="bullet"/>
      <w:lvlText w:val="●"/>
      <w:lvlJc w:val="left"/>
      <w:pPr>
        <w:tabs>
          <w:tab w:val="num" w:pos="6480"/>
        </w:tabs>
        <w:ind w:left="6480" w:hanging="360"/>
      </w:pPr>
      <w:rPr>
        <w:rFonts w:ascii="Times New Roman" w:hAnsi="Times New Roman" w:hint="default"/>
      </w:rPr>
    </w:lvl>
  </w:abstractNum>
  <w:abstractNum w:abstractNumId="4">
    <w:nsid w:val="43C34FEE"/>
    <w:multiLevelType w:val="hybridMultilevel"/>
    <w:tmpl w:val="5A7A850A"/>
    <w:lvl w:ilvl="0" w:tplc="34BA38CE">
      <w:start w:val="1"/>
      <w:numFmt w:val="bullet"/>
      <w:lvlText w:val="♦"/>
      <w:lvlJc w:val="left"/>
      <w:pPr>
        <w:tabs>
          <w:tab w:val="num" w:pos="720"/>
        </w:tabs>
        <w:ind w:left="720" w:hanging="360"/>
      </w:pPr>
      <w:rPr>
        <w:rFonts w:ascii="Times New Roman" w:hAnsi="Times New Roman" w:hint="default"/>
      </w:rPr>
    </w:lvl>
    <w:lvl w:ilvl="1" w:tplc="8A545C96">
      <w:start w:val="1"/>
      <w:numFmt w:val="bullet"/>
      <w:lvlText w:val="♦"/>
      <w:lvlJc w:val="left"/>
      <w:pPr>
        <w:tabs>
          <w:tab w:val="num" w:pos="1440"/>
        </w:tabs>
        <w:ind w:left="1440" w:hanging="360"/>
      </w:pPr>
      <w:rPr>
        <w:rFonts w:ascii="Times New Roman" w:hAnsi="Times New Roman" w:hint="default"/>
      </w:rPr>
    </w:lvl>
    <w:lvl w:ilvl="2" w:tplc="5B78942E" w:tentative="1">
      <w:start w:val="1"/>
      <w:numFmt w:val="bullet"/>
      <w:lvlText w:val="♦"/>
      <w:lvlJc w:val="left"/>
      <w:pPr>
        <w:tabs>
          <w:tab w:val="num" w:pos="2160"/>
        </w:tabs>
        <w:ind w:left="2160" w:hanging="360"/>
      </w:pPr>
      <w:rPr>
        <w:rFonts w:ascii="Times New Roman" w:hAnsi="Times New Roman" w:hint="default"/>
      </w:rPr>
    </w:lvl>
    <w:lvl w:ilvl="3" w:tplc="55AE603C" w:tentative="1">
      <w:start w:val="1"/>
      <w:numFmt w:val="bullet"/>
      <w:lvlText w:val="♦"/>
      <w:lvlJc w:val="left"/>
      <w:pPr>
        <w:tabs>
          <w:tab w:val="num" w:pos="2880"/>
        </w:tabs>
        <w:ind w:left="2880" w:hanging="360"/>
      </w:pPr>
      <w:rPr>
        <w:rFonts w:ascii="Times New Roman" w:hAnsi="Times New Roman" w:hint="default"/>
      </w:rPr>
    </w:lvl>
    <w:lvl w:ilvl="4" w:tplc="4DE6F27A" w:tentative="1">
      <w:start w:val="1"/>
      <w:numFmt w:val="bullet"/>
      <w:lvlText w:val="♦"/>
      <w:lvlJc w:val="left"/>
      <w:pPr>
        <w:tabs>
          <w:tab w:val="num" w:pos="3600"/>
        </w:tabs>
        <w:ind w:left="3600" w:hanging="360"/>
      </w:pPr>
      <w:rPr>
        <w:rFonts w:ascii="Times New Roman" w:hAnsi="Times New Roman" w:hint="default"/>
      </w:rPr>
    </w:lvl>
    <w:lvl w:ilvl="5" w:tplc="C7C674A0" w:tentative="1">
      <w:start w:val="1"/>
      <w:numFmt w:val="bullet"/>
      <w:lvlText w:val="♦"/>
      <w:lvlJc w:val="left"/>
      <w:pPr>
        <w:tabs>
          <w:tab w:val="num" w:pos="4320"/>
        </w:tabs>
        <w:ind w:left="4320" w:hanging="360"/>
      </w:pPr>
      <w:rPr>
        <w:rFonts w:ascii="Times New Roman" w:hAnsi="Times New Roman" w:hint="default"/>
      </w:rPr>
    </w:lvl>
    <w:lvl w:ilvl="6" w:tplc="A8F4035A" w:tentative="1">
      <w:start w:val="1"/>
      <w:numFmt w:val="bullet"/>
      <w:lvlText w:val="♦"/>
      <w:lvlJc w:val="left"/>
      <w:pPr>
        <w:tabs>
          <w:tab w:val="num" w:pos="5040"/>
        </w:tabs>
        <w:ind w:left="5040" w:hanging="360"/>
      </w:pPr>
      <w:rPr>
        <w:rFonts w:ascii="Times New Roman" w:hAnsi="Times New Roman" w:hint="default"/>
      </w:rPr>
    </w:lvl>
    <w:lvl w:ilvl="7" w:tplc="FA843C90" w:tentative="1">
      <w:start w:val="1"/>
      <w:numFmt w:val="bullet"/>
      <w:lvlText w:val="♦"/>
      <w:lvlJc w:val="left"/>
      <w:pPr>
        <w:tabs>
          <w:tab w:val="num" w:pos="5760"/>
        </w:tabs>
        <w:ind w:left="5760" w:hanging="360"/>
      </w:pPr>
      <w:rPr>
        <w:rFonts w:ascii="Times New Roman" w:hAnsi="Times New Roman" w:hint="default"/>
      </w:rPr>
    </w:lvl>
    <w:lvl w:ilvl="8" w:tplc="A8D4718C" w:tentative="1">
      <w:start w:val="1"/>
      <w:numFmt w:val="bullet"/>
      <w:lvlText w:val="♦"/>
      <w:lvlJc w:val="left"/>
      <w:pPr>
        <w:tabs>
          <w:tab w:val="num" w:pos="6480"/>
        </w:tabs>
        <w:ind w:left="6480" w:hanging="360"/>
      </w:pPr>
      <w:rPr>
        <w:rFonts w:ascii="Times New Roman" w:hAnsi="Times New Roman" w:hint="default"/>
      </w:rPr>
    </w:lvl>
  </w:abstractNum>
  <w:abstractNum w:abstractNumId="5">
    <w:nsid w:val="454232FF"/>
    <w:multiLevelType w:val="hybridMultilevel"/>
    <w:tmpl w:val="9AB82338"/>
    <w:lvl w:ilvl="0" w:tplc="F1E8FDB4">
      <w:start w:val="13"/>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560537F4"/>
    <w:multiLevelType w:val="hybridMultilevel"/>
    <w:tmpl w:val="84B6BEA6"/>
    <w:lvl w:ilvl="0" w:tplc="971E0008">
      <w:start w:val="1"/>
      <w:numFmt w:val="bullet"/>
      <w:lvlText w:val="♦"/>
      <w:lvlJc w:val="left"/>
      <w:pPr>
        <w:tabs>
          <w:tab w:val="num" w:pos="720"/>
        </w:tabs>
        <w:ind w:left="720" w:hanging="360"/>
      </w:pPr>
      <w:rPr>
        <w:rFonts w:ascii="Times New Roman" w:hAnsi="Times New Roman" w:hint="default"/>
      </w:rPr>
    </w:lvl>
    <w:lvl w:ilvl="1" w:tplc="ACD60BE4">
      <w:start w:val="1"/>
      <w:numFmt w:val="bullet"/>
      <w:lvlText w:val="♦"/>
      <w:lvlJc w:val="left"/>
      <w:pPr>
        <w:tabs>
          <w:tab w:val="num" w:pos="1440"/>
        </w:tabs>
        <w:ind w:left="1440" w:hanging="360"/>
      </w:pPr>
      <w:rPr>
        <w:rFonts w:ascii="Times New Roman" w:hAnsi="Times New Roman" w:hint="default"/>
      </w:rPr>
    </w:lvl>
    <w:lvl w:ilvl="2" w:tplc="91DACAE8" w:tentative="1">
      <w:start w:val="1"/>
      <w:numFmt w:val="bullet"/>
      <w:lvlText w:val="♦"/>
      <w:lvlJc w:val="left"/>
      <w:pPr>
        <w:tabs>
          <w:tab w:val="num" w:pos="2160"/>
        </w:tabs>
        <w:ind w:left="2160" w:hanging="360"/>
      </w:pPr>
      <w:rPr>
        <w:rFonts w:ascii="Times New Roman" w:hAnsi="Times New Roman" w:hint="default"/>
      </w:rPr>
    </w:lvl>
    <w:lvl w:ilvl="3" w:tplc="D08C1F2A" w:tentative="1">
      <w:start w:val="1"/>
      <w:numFmt w:val="bullet"/>
      <w:lvlText w:val="♦"/>
      <w:lvlJc w:val="left"/>
      <w:pPr>
        <w:tabs>
          <w:tab w:val="num" w:pos="2880"/>
        </w:tabs>
        <w:ind w:left="2880" w:hanging="360"/>
      </w:pPr>
      <w:rPr>
        <w:rFonts w:ascii="Times New Roman" w:hAnsi="Times New Roman" w:hint="default"/>
      </w:rPr>
    </w:lvl>
    <w:lvl w:ilvl="4" w:tplc="014C1880" w:tentative="1">
      <w:start w:val="1"/>
      <w:numFmt w:val="bullet"/>
      <w:lvlText w:val="♦"/>
      <w:lvlJc w:val="left"/>
      <w:pPr>
        <w:tabs>
          <w:tab w:val="num" w:pos="3600"/>
        </w:tabs>
        <w:ind w:left="3600" w:hanging="360"/>
      </w:pPr>
      <w:rPr>
        <w:rFonts w:ascii="Times New Roman" w:hAnsi="Times New Roman" w:hint="default"/>
      </w:rPr>
    </w:lvl>
    <w:lvl w:ilvl="5" w:tplc="66927352" w:tentative="1">
      <w:start w:val="1"/>
      <w:numFmt w:val="bullet"/>
      <w:lvlText w:val="♦"/>
      <w:lvlJc w:val="left"/>
      <w:pPr>
        <w:tabs>
          <w:tab w:val="num" w:pos="4320"/>
        </w:tabs>
        <w:ind w:left="4320" w:hanging="360"/>
      </w:pPr>
      <w:rPr>
        <w:rFonts w:ascii="Times New Roman" w:hAnsi="Times New Roman" w:hint="default"/>
      </w:rPr>
    </w:lvl>
    <w:lvl w:ilvl="6" w:tplc="844AA190" w:tentative="1">
      <w:start w:val="1"/>
      <w:numFmt w:val="bullet"/>
      <w:lvlText w:val="♦"/>
      <w:lvlJc w:val="left"/>
      <w:pPr>
        <w:tabs>
          <w:tab w:val="num" w:pos="5040"/>
        </w:tabs>
        <w:ind w:left="5040" w:hanging="360"/>
      </w:pPr>
      <w:rPr>
        <w:rFonts w:ascii="Times New Roman" w:hAnsi="Times New Roman" w:hint="default"/>
      </w:rPr>
    </w:lvl>
    <w:lvl w:ilvl="7" w:tplc="A9A256E2" w:tentative="1">
      <w:start w:val="1"/>
      <w:numFmt w:val="bullet"/>
      <w:lvlText w:val="♦"/>
      <w:lvlJc w:val="left"/>
      <w:pPr>
        <w:tabs>
          <w:tab w:val="num" w:pos="5760"/>
        </w:tabs>
        <w:ind w:left="5760" w:hanging="360"/>
      </w:pPr>
      <w:rPr>
        <w:rFonts w:ascii="Times New Roman" w:hAnsi="Times New Roman" w:hint="default"/>
      </w:rPr>
    </w:lvl>
    <w:lvl w:ilvl="8" w:tplc="8D381B6E" w:tentative="1">
      <w:start w:val="1"/>
      <w:numFmt w:val="bullet"/>
      <w:lvlText w:val="♦"/>
      <w:lvlJc w:val="left"/>
      <w:pPr>
        <w:tabs>
          <w:tab w:val="num" w:pos="6480"/>
        </w:tabs>
        <w:ind w:left="6480" w:hanging="360"/>
      </w:pPr>
      <w:rPr>
        <w:rFonts w:ascii="Times New Roman" w:hAnsi="Times New Roman" w:hint="default"/>
      </w:rPr>
    </w:lvl>
  </w:abstractNum>
  <w:abstractNum w:abstractNumId="7">
    <w:nsid w:val="5AF10E45"/>
    <w:multiLevelType w:val="hybridMultilevel"/>
    <w:tmpl w:val="29B8BF4E"/>
    <w:lvl w:ilvl="0" w:tplc="8E86259A">
      <w:start w:val="1"/>
      <w:numFmt w:val="bullet"/>
      <w:lvlText w:val="♦"/>
      <w:lvlJc w:val="left"/>
      <w:pPr>
        <w:tabs>
          <w:tab w:val="num" w:pos="720"/>
        </w:tabs>
        <w:ind w:left="720" w:hanging="360"/>
      </w:pPr>
      <w:rPr>
        <w:rFonts w:ascii="Times New Roman" w:hAnsi="Times New Roman" w:hint="default"/>
      </w:rPr>
    </w:lvl>
    <w:lvl w:ilvl="1" w:tplc="F1BEC940">
      <w:start w:val="1"/>
      <w:numFmt w:val="bullet"/>
      <w:lvlText w:val="♦"/>
      <w:lvlJc w:val="left"/>
      <w:pPr>
        <w:tabs>
          <w:tab w:val="num" w:pos="1440"/>
        </w:tabs>
        <w:ind w:left="1440" w:hanging="360"/>
      </w:pPr>
      <w:rPr>
        <w:rFonts w:ascii="Times New Roman" w:hAnsi="Times New Roman" w:hint="default"/>
      </w:rPr>
    </w:lvl>
    <w:lvl w:ilvl="2" w:tplc="28442C42" w:tentative="1">
      <w:start w:val="1"/>
      <w:numFmt w:val="bullet"/>
      <w:lvlText w:val="♦"/>
      <w:lvlJc w:val="left"/>
      <w:pPr>
        <w:tabs>
          <w:tab w:val="num" w:pos="2160"/>
        </w:tabs>
        <w:ind w:left="2160" w:hanging="360"/>
      </w:pPr>
      <w:rPr>
        <w:rFonts w:ascii="Times New Roman" w:hAnsi="Times New Roman" w:hint="default"/>
      </w:rPr>
    </w:lvl>
    <w:lvl w:ilvl="3" w:tplc="395CEF34" w:tentative="1">
      <w:start w:val="1"/>
      <w:numFmt w:val="bullet"/>
      <w:lvlText w:val="♦"/>
      <w:lvlJc w:val="left"/>
      <w:pPr>
        <w:tabs>
          <w:tab w:val="num" w:pos="2880"/>
        </w:tabs>
        <w:ind w:left="2880" w:hanging="360"/>
      </w:pPr>
      <w:rPr>
        <w:rFonts w:ascii="Times New Roman" w:hAnsi="Times New Roman" w:hint="default"/>
      </w:rPr>
    </w:lvl>
    <w:lvl w:ilvl="4" w:tplc="431268EE" w:tentative="1">
      <w:start w:val="1"/>
      <w:numFmt w:val="bullet"/>
      <w:lvlText w:val="♦"/>
      <w:lvlJc w:val="left"/>
      <w:pPr>
        <w:tabs>
          <w:tab w:val="num" w:pos="3600"/>
        </w:tabs>
        <w:ind w:left="3600" w:hanging="360"/>
      </w:pPr>
      <w:rPr>
        <w:rFonts w:ascii="Times New Roman" w:hAnsi="Times New Roman" w:hint="default"/>
      </w:rPr>
    </w:lvl>
    <w:lvl w:ilvl="5" w:tplc="F3F6A998" w:tentative="1">
      <w:start w:val="1"/>
      <w:numFmt w:val="bullet"/>
      <w:lvlText w:val="♦"/>
      <w:lvlJc w:val="left"/>
      <w:pPr>
        <w:tabs>
          <w:tab w:val="num" w:pos="4320"/>
        </w:tabs>
        <w:ind w:left="4320" w:hanging="360"/>
      </w:pPr>
      <w:rPr>
        <w:rFonts w:ascii="Times New Roman" w:hAnsi="Times New Roman" w:hint="default"/>
      </w:rPr>
    </w:lvl>
    <w:lvl w:ilvl="6" w:tplc="A59A8562" w:tentative="1">
      <w:start w:val="1"/>
      <w:numFmt w:val="bullet"/>
      <w:lvlText w:val="♦"/>
      <w:lvlJc w:val="left"/>
      <w:pPr>
        <w:tabs>
          <w:tab w:val="num" w:pos="5040"/>
        </w:tabs>
        <w:ind w:left="5040" w:hanging="360"/>
      </w:pPr>
      <w:rPr>
        <w:rFonts w:ascii="Times New Roman" w:hAnsi="Times New Roman" w:hint="default"/>
      </w:rPr>
    </w:lvl>
    <w:lvl w:ilvl="7" w:tplc="7D326E52" w:tentative="1">
      <w:start w:val="1"/>
      <w:numFmt w:val="bullet"/>
      <w:lvlText w:val="♦"/>
      <w:lvlJc w:val="left"/>
      <w:pPr>
        <w:tabs>
          <w:tab w:val="num" w:pos="5760"/>
        </w:tabs>
        <w:ind w:left="5760" w:hanging="360"/>
      </w:pPr>
      <w:rPr>
        <w:rFonts w:ascii="Times New Roman" w:hAnsi="Times New Roman" w:hint="default"/>
      </w:rPr>
    </w:lvl>
    <w:lvl w:ilvl="8" w:tplc="CCDC9CE0" w:tentative="1">
      <w:start w:val="1"/>
      <w:numFmt w:val="bullet"/>
      <w:lvlText w:val="♦"/>
      <w:lvlJc w:val="left"/>
      <w:pPr>
        <w:tabs>
          <w:tab w:val="num" w:pos="6480"/>
        </w:tabs>
        <w:ind w:left="6480" w:hanging="360"/>
      </w:pPr>
      <w:rPr>
        <w:rFonts w:ascii="Times New Roman" w:hAnsi="Times New Roman" w:hint="default"/>
      </w:rPr>
    </w:lvl>
  </w:abstractNum>
  <w:abstractNum w:abstractNumId="8">
    <w:nsid w:val="61FF427E"/>
    <w:multiLevelType w:val="hybridMultilevel"/>
    <w:tmpl w:val="32901412"/>
    <w:lvl w:ilvl="0" w:tplc="7AF6CE68">
      <w:start w:val="1"/>
      <w:numFmt w:val="bullet"/>
      <w:lvlText w:val="♦"/>
      <w:lvlJc w:val="left"/>
      <w:pPr>
        <w:tabs>
          <w:tab w:val="num" w:pos="720"/>
        </w:tabs>
        <w:ind w:left="720" w:hanging="360"/>
      </w:pPr>
      <w:rPr>
        <w:rFonts w:ascii="Times New Roman" w:hAnsi="Times New Roman" w:hint="default"/>
      </w:rPr>
    </w:lvl>
    <w:lvl w:ilvl="1" w:tplc="F072DD6E">
      <w:start w:val="1"/>
      <w:numFmt w:val="bullet"/>
      <w:lvlText w:val="♦"/>
      <w:lvlJc w:val="left"/>
      <w:pPr>
        <w:tabs>
          <w:tab w:val="num" w:pos="1440"/>
        </w:tabs>
        <w:ind w:left="1440" w:hanging="360"/>
      </w:pPr>
      <w:rPr>
        <w:rFonts w:ascii="Times New Roman" w:hAnsi="Times New Roman" w:hint="default"/>
      </w:rPr>
    </w:lvl>
    <w:lvl w:ilvl="2" w:tplc="687A9352" w:tentative="1">
      <w:start w:val="1"/>
      <w:numFmt w:val="bullet"/>
      <w:lvlText w:val="♦"/>
      <w:lvlJc w:val="left"/>
      <w:pPr>
        <w:tabs>
          <w:tab w:val="num" w:pos="2160"/>
        </w:tabs>
        <w:ind w:left="2160" w:hanging="360"/>
      </w:pPr>
      <w:rPr>
        <w:rFonts w:ascii="Times New Roman" w:hAnsi="Times New Roman" w:hint="default"/>
      </w:rPr>
    </w:lvl>
    <w:lvl w:ilvl="3" w:tplc="5F3E3810" w:tentative="1">
      <w:start w:val="1"/>
      <w:numFmt w:val="bullet"/>
      <w:lvlText w:val="♦"/>
      <w:lvlJc w:val="left"/>
      <w:pPr>
        <w:tabs>
          <w:tab w:val="num" w:pos="2880"/>
        </w:tabs>
        <w:ind w:left="2880" w:hanging="360"/>
      </w:pPr>
      <w:rPr>
        <w:rFonts w:ascii="Times New Roman" w:hAnsi="Times New Roman" w:hint="default"/>
      </w:rPr>
    </w:lvl>
    <w:lvl w:ilvl="4" w:tplc="35266392" w:tentative="1">
      <w:start w:val="1"/>
      <w:numFmt w:val="bullet"/>
      <w:lvlText w:val="♦"/>
      <w:lvlJc w:val="left"/>
      <w:pPr>
        <w:tabs>
          <w:tab w:val="num" w:pos="3600"/>
        </w:tabs>
        <w:ind w:left="3600" w:hanging="360"/>
      </w:pPr>
      <w:rPr>
        <w:rFonts w:ascii="Times New Roman" w:hAnsi="Times New Roman" w:hint="default"/>
      </w:rPr>
    </w:lvl>
    <w:lvl w:ilvl="5" w:tplc="76424678" w:tentative="1">
      <w:start w:val="1"/>
      <w:numFmt w:val="bullet"/>
      <w:lvlText w:val="♦"/>
      <w:lvlJc w:val="left"/>
      <w:pPr>
        <w:tabs>
          <w:tab w:val="num" w:pos="4320"/>
        </w:tabs>
        <w:ind w:left="4320" w:hanging="360"/>
      </w:pPr>
      <w:rPr>
        <w:rFonts w:ascii="Times New Roman" w:hAnsi="Times New Roman" w:hint="default"/>
      </w:rPr>
    </w:lvl>
    <w:lvl w:ilvl="6" w:tplc="BD365B5A" w:tentative="1">
      <w:start w:val="1"/>
      <w:numFmt w:val="bullet"/>
      <w:lvlText w:val="♦"/>
      <w:lvlJc w:val="left"/>
      <w:pPr>
        <w:tabs>
          <w:tab w:val="num" w:pos="5040"/>
        </w:tabs>
        <w:ind w:left="5040" w:hanging="360"/>
      </w:pPr>
      <w:rPr>
        <w:rFonts w:ascii="Times New Roman" w:hAnsi="Times New Roman" w:hint="default"/>
      </w:rPr>
    </w:lvl>
    <w:lvl w:ilvl="7" w:tplc="1B12F5B0" w:tentative="1">
      <w:start w:val="1"/>
      <w:numFmt w:val="bullet"/>
      <w:lvlText w:val="♦"/>
      <w:lvlJc w:val="left"/>
      <w:pPr>
        <w:tabs>
          <w:tab w:val="num" w:pos="5760"/>
        </w:tabs>
        <w:ind w:left="5760" w:hanging="360"/>
      </w:pPr>
      <w:rPr>
        <w:rFonts w:ascii="Times New Roman" w:hAnsi="Times New Roman" w:hint="default"/>
      </w:rPr>
    </w:lvl>
    <w:lvl w:ilvl="8" w:tplc="1520C312" w:tentative="1">
      <w:start w:val="1"/>
      <w:numFmt w:val="bullet"/>
      <w:lvlText w:val="♦"/>
      <w:lvlJc w:val="left"/>
      <w:pPr>
        <w:tabs>
          <w:tab w:val="num" w:pos="6480"/>
        </w:tabs>
        <w:ind w:left="6480" w:hanging="360"/>
      </w:pPr>
      <w:rPr>
        <w:rFonts w:ascii="Times New Roman" w:hAnsi="Times New Roman" w:hint="default"/>
      </w:rPr>
    </w:lvl>
  </w:abstractNum>
  <w:abstractNum w:abstractNumId="9">
    <w:nsid w:val="75226957"/>
    <w:multiLevelType w:val="hybridMultilevel"/>
    <w:tmpl w:val="DC36C2A0"/>
    <w:lvl w:ilvl="0" w:tplc="0BB6B130">
      <w:start w:val="1"/>
      <w:numFmt w:val="bullet"/>
      <w:lvlText w:val="♦"/>
      <w:lvlJc w:val="left"/>
      <w:pPr>
        <w:tabs>
          <w:tab w:val="num" w:pos="720"/>
        </w:tabs>
        <w:ind w:left="720" w:hanging="360"/>
      </w:pPr>
      <w:rPr>
        <w:rFonts w:ascii="Times New Roman" w:hAnsi="Times New Roman" w:hint="default"/>
      </w:rPr>
    </w:lvl>
    <w:lvl w:ilvl="1" w:tplc="FBD026F0">
      <w:start w:val="1"/>
      <w:numFmt w:val="bullet"/>
      <w:lvlText w:val="♦"/>
      <w:lvlJc w:val="left"/>
      <w:pPr>
        <w:tabs>
          <w:tab w:val="num" w:pos="1440"/>
        </w:tabs>
        <w:ind w:left="1440" w:hanging="360"/>
      </w:pPr>
      <w:rPr>
        <w:rFonts w:ascii="Times New Roman" w:hAnsi="Times New Roman" w:hint="default"/>
      </w:rPr>
    </w:lvl>
    <w:lvl w:ilvl="2" w:tplc="0CB60468">
      <w:start w:val="127"/>
      <w:numFmt w:val="bullet"/>
      <w:lvlText w:val="■"/>
      <w:lvlJc w:val="left"/>
      <w:pPr>
        <w:tabs>
          <w:tab w:val="num" w:pos="2160"/>
        </w:tabs>
        <w:ind w:left="2160" w:hanging="360"/>
      </w:pPr>
      <w:rPr>
        <w:rFonts w:ascii="Times New Roman" w:hAnsi="Times New Roman" w:hint="default"/>
      </w:rPr>
    </w:lvl>
    <w:lvl w:ilvl="3" w:tplc="71B0E726" w:tentative="1">
      <w:start w:val="1"/>
      <w:numFmt w:val="bullet"/>
      <w:lvlText w:val="♦"/>
      <w:lvlJc w:val="left"/>
      <w:pPr>
        <w:tabs>
          <w:tab w:val="num" w:pos="2880"/>
        </w:tabs>
        <w:ind w:left="2880" w:hanging="360"/>
      </w:pPr>
      <w:rPr>
        <w:rFonts w:ascii="Times New Roman" w:hAnsi="Times New Roman" w:hint="default"/>
      </w:rPr>
    </w:lvl>
    <w:lvl w:ilvl="4" w:tplc="4E74406C" w:tentative="1">
      <w:start w:val="1"/>
      <w:numFmt w:val="bullet"/>
      <w:lvlText w:val="♦"/>
      <w:lvlJc w:val="left"/>
      <w:pPr>
        <w:tabs>
          <w:tab w:val="num" w:pos="3600"/>
        </w:tabs>
        <w:ind w:left="3600" w:hanging="360"/>
      </w:pPr>
      <w:rPr>
        <w:rFonts w:ascii="Times New Roman" w:hAnsi="Times New Roman" w:hint="default"/>
      </w:rPr>
    </w:lvl>
    <w:lvl w:ilvl="5" w:tplc="F208AAAC" w:tentative="1">
      <w:start w:val="1"/>
      <w:numFmt w:val="bullet"/>
      <w:lvlText w:val="♦"/>
      <w:lvlJc w:val="left"/>
      <w:pPr>
        <w:tabs>
          <w:tab w:val="num" w:pos="4320"/>
        </w:tabs>
        <w:ind w:left="4320" w:hanging="360"/>
      </w:pPr>
      <w:rPr>
        <w:rFonts w:ascii="Times New Roman" w:hAnsi="Times New Roman" w:hint="default"/>
      </w:rPr>
    </w:lvl>
    <w:lvl w:ilvl="6" w:tplc="185280D8" w:tentative="1">
      <w:start w:val="1"/>
      <w:numFmt w:val="bullet"/>
      <w:lvlText w:val="♦"/>
      <w:lvlJc w:val="left"/>
      <w:pPr>
        <w:tabs>
          <w:tab w:val="num" w:pos="5040"/>
        </w:tabs>
        <w:ind w:left="5040" w:hanging="360"/>
      </w:pPr>
      <w:rPr>
        <w:rFonts w:ascii="Times New Roman" w:hAnsi="Times New Roman" w:hint="default"/>
      </w:rPr>
    </w:lvl>
    <w:lvl w:ilvl="7" w:tplc="8300FFAE" w:tentative="1">
      <w:start w:val="1"/>
      <w:numFmt w:val="bullet"/>
      <w:lvlText w:val="♦"/>
      <w:lvlJc w:val="left"/>
      <w:pPr>
        <w:tabs>
          <w:tab w:val="num" w:pos="5760"/>
        </w:tabs>
        <w:ind w:left="5760" w:hanging="360"/>
      </w:pPr>
      <w:rPr>
        <w:rFonts w:ascii="Times New Roman" w:hAnsi="Times New Roman" w:hint="default"/>
      </w:rPr>
    </w:lvl>
    <w:lvl w:ilvl="8" w:tplc="61C8923C"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4"/>
  </w:num>
  <w:num w:numId="3">
    <w:abstractNumId w:val="1"/>
  </w:num>
  <w:num w:numId="4">
    <w:abstractNumId w:val="9"/>
  </w:num>
  <w:num w:numId="5">
    <w:abstractNumId w:val="0"/>
  </w:num>
  <w:num w:numId="6">
    <w:abstractNumId w:val="8"/>
  </w:num>
  <w:num w:numId="7">
    <w:abstractNumId w:val="7"/>
  </w:num>
  <w:num w:numId="8">
    <w:abstractNumId w:val="6"/>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D19A0"/>
    <w:rsid w:val="000A049F"/>
    <w:rsid w:val="000A4028"/>
    <w:rsid w:val="000D384C"/>
    <w:rsid w:val="000F5CEF"/>
    <w:rsid w:val="001025D3"/>
    <w:rsid w:val="00136F6B"/>
    <w:rsid w:val="001A110B"/>
    <w:rsid w:val="001D5F0C"/>
    <w:rsid w:val="00212D8B"/>
    <w:rsid w:val="00251274"/>
    <w:rsid w:val="00251B19"/>
    <w:rsid w:val="002C10A6"/>
    <w:rsid w:val="00417D5B"/>
    <w:rsid w:val="00556201"/>
    <w:rsid w:val="006330B7"/>
    <w:rsid w:val="00750460"/>
    <w:rsid w:val="007D4D23"/>
    <w:rsid w:val="008344E9"/>
    <w:rsid w:val="00881CF0"/>
    <w:rsid w:val="008D7B75"/>
    <w:rsid w:val="008E29A4"/>
    <w:rsid w:val="00920D55"/>
    <w:rsid w:val="009651A0"/>
    <w:rsid w:val="00995481"/>
    <w:rsid w:val="009D19A0"/>
    <w:rsid w:val="009D7DB3"/>
    <w:rsid w:val="00A37B20"/>
    <w:rsid w:val="00A452DE"/>
    <w:rsid w:val="00A6247D"/>
    <w:rsid w:val="00A7337B"/>
    <w:rsid w:val="00AC4FD4"/>
    <w:rsid w:val="00BD44FF"/>
    <w:rsid w:val="00C71468"/>
    <w:rsid w:val="00C84BEE"/>
    <w:rsid w:val="00C9474C"/>
    <w:rsid w:val="00D50346"/>
    <w:rsid w:val="00D80707"/>
    <w:rsid w:val="00DF5967"/>
    <w:rsid w:val="00E062C2"/>
    <w:rsid w:val="00EC64CE"/>
    <w:rsid w:val="00F231B4"/>
    <w:rsid w:val="00F748F3"/>
    <w:rsid w:val="00FA025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19A0"/>
    <w:pPr>
      <w:ind w:left="720"/>
      <w:contextualSpacing/>
    </w:pPr>
  </w:style>
</w:styles>
</file>

<file path=word/webSettings.xml><?xml version="1.0" encoding="utf-8"?>
<w:webSettings xmlns:r="http://schemas.openxmlformats.org/officeDocument/2006/relationships" xmlns:w="http://schemas.openxmlformats.org/wordprocessingml/2006/main">
  <w:divs>
    <w:div w:id="140199721">
      <w:bodyDiv w:val="1"/>
      <w:marLeft w:val="0"/>
      <w:marRight w:val="0"/>
      <w:marTop w:val="0"/>
      <w:marBottom w:val="0"/>
      <w:divBdr>
        <w:top w:val="none" w:sz="0" w:space="0" w:color="auto"/>
        <w:left w:val="none" w:sz="0" w:space="0" w:color="auto"/>
        <w:bottom w:val="none" w:sz="0" w:space="0" w:color="auto"/>
        <w:right w:val="none" w:sz="0" w:space="0" w:color="auto"/>
      </w:divBdr>
      <w:divsChild>
        <w:div w:id="214589851">
          <w:marLeft w:val="1166"/>
          <w:marRight w:val="0"/>
          <w:marTop w:val="134"/>
          <w:marBottom w:val="0"/>
          <w:divBdr>
            <w:top w:val="none" w:sz="0" w:space="0" w:color="auto"/>
            <w:left w:val="none" w:sz="0" w:space="0" w:color="auto"/>
            <w:bottom w:val="none" w:sz="0" w:space="0" w:color="auto"/>
            <w:right w:val="none" w:sz="0" w:space="0" w:color="auto"/>
          </w:divBdr>
        </w:div>
        <w:div w:id="248394849">
          <w:marLeft w:val="1166"/>
          <w:marRight w:val="0"/>
          <w:marTop w:val="134"/>
          <w:marBottom w:val="0"/>
          <w:divBdr>
            <w:top w:val="none" w:sz="0" w:space="0" w:color="auto"/>
            <w:left w:val="none" w:sz="0" w:space="0" w:color="auto"/>
            <w:bottom w:val="none" w:sz="0" w:space="0" w:color="auto"/>
            <w:right w:val="none" w:sz="0" w:space="0" w:color="auto"/>
          </w:divBdr>
        </w:div>
      </w:divsChild>
    </w:div>
    <w:div w:id="222371616">
      <w:bodyDiv w:val="1"/>
      <w:marLeft w:val="0"/>
      <w:marRight w:val="0"/>
      <w:marTop w:val="0"/>
      <w:marBottom w:val="0"/>
      <w:divBdr>
        <w:top w:val="none" w:sz="0" w:space="0" w:color="auto"/>
        <w:left w:val="none" w:sz="0" w:space="0" w:color="auto"/>
        <w:bottom w:val="none" w:sz="0" w:space="0" w:color="auto"/>
        <w:right w:val="none" w:sz="0" w:space="0" w:color="auto"/>
      </w:divBdr>
      <w:divsChild>
        <w:div w:id="1452558098">
          <w:marLeft w:val="1166"/>
          <w:marRight w:val="0"/>
          <w:marTop w:val="134"/>
          <w:marBottom w:val="0"/>
          <w:divBdr>
            <w:top w:val="none" w:sz="0" w:space="0" w:color="auto"/>
            <w:left w:val="none" w:sz="0" w:space="0" w:color="auto"/>
            <w:bottom w:val="none" w:sz="0" w:space="0" w:color="auto"/>
            <w:right w:val="none" w:sz="0" w:space="0" w:color="auto"/>
          </w:divBdr>
        </w:div>
      </w:divsChild>
    </w:div>
    <w:div w:id="659037551">
      <w:bodyDiv w:val="1"/>
      <w:marLeft w:val="0"/>
      <w:marRight w:val="0"/>
      <w:marTop w:val="0"/>
      <w:marBottom w:val="0"/>
      <w:divBdr>
        <w:top w:val="none" w:sz="0" w:space="0" w:color="auto"/>
        <w:left w:val="none" w:sz="0" w:space="0" w:color="auto"/>
        <w:bottom w:val="none" w:sz="0" w:space="0" w:color="auto"/>
        <w:right w:val="none" w:sz="0" w:space="0" w:color="auto"/>
      </w:divBdr>
      <w:divsChild>
        <w:div w:id="1107850288">
          <w:marLeft w:val="1166"/>
          <w:marRight w:val="0"/>
          <w:marTop w:val="134"/>
          <w:marBottom w:val="0"/>
          <w:divBdr>
            <w:top w:val="none" w:sz="0" w:space="0" w:color="auto"/>
            <w:left w:val="none" w:sz="0" w:space="0" w:color="auto"/>
            <w:bottom w:val="none" w:sz="0" w:space="0" w:color="auto"/>
            <w:right w:val="none" w:sz="0" w:space="0" w:color="auto"/>
          </w:divBdr>
        </w:div>
        <w:div w:id="242496163">
          <w:marLeft w:val="1166"/>
          <w:marRight w:val="0"/>
          <w:marTop w:val="134"/>
          <w:marBottom w:val="0"/>
          <w:divBdr>
            <w:top w:val="none" w:sz="0" w:space="0" w:color="auto"/>
            <w:left w:val="none" w:sz="0" w:space="0" w:color="auto"/>
            <w:bottom w:val="none" w:sz="0" w:space="0" w:color="auto"/>
            <w:right w:val="none" w:sz="0" w:space="0" w:color="auto"/>
          </w:divBdr>
        </w:div>
      </w:divsChild>
    </w:div>
    <w:div w:id="679696161">
      <w:bodyDiv w:val="1"/>
      <w:marLeft w:val="0"/>
      <w:marRight w:val="0"/>
      <w:marTop w:val="0"/>
      <w:marBottom w:val="0"/>
      <w:divBdr>
        <w:top w:val="none" w:sz="0" w:space="0" w:color="auto"/>
        <w:left w:val="none" w:sz="0" w:space="0" w:color="auto"/>
        <w:bottom w:val="none" w:sz="0" w:space="0" w:color="auto"/>
        <w:right w:val="none" w:sz="0" w:space="0" w:color="auto"/>
      </w:divBdr>
      <w:divsChild>
        <w:div w:id="1431437807">
          <w:marLeft w:val="1166"/>
          <w:marRight w:val="0"/>
          <w:marTop w:val="134"/>
          <w:marBottom w:val="0"/>
          <w:divBdr>
            <w:top w:val="none" w:sz="0" w:space="0" w:color="auto"/>
            <w:left w:val="none" w:sz="0" w:space="0" w:color="auto"/>
            <w:bottom w:val="none" w:sz="0" w:space="0" w:color="auto"/>
            <w:right w:val="none" w:sz="0" w:space="0" w:color="auto"/>
          </w:divBdr>
        </w:div>
      </w:divsChild>
    </w:div>
    <w:div w:id="1040780526">
      <w:bodyDiv w:val="1"/>
      <w:marLeft w:val="0"/>
      <w:marRight w:val="0"/>
      <w:marTop w:val="0"/>
      <w:marBottom w:val="0"/>
      <w:divBdr>
        <w:top w:val="none" w:sz="0" w:space="0" w:color="auto"/>
        <w:left w:val="none" w:sz="0" w:space="0" w:color="auto"/>
        <w:bottom w:val="none" w:sz="0" w:space="0" w:color="auto"/>
        <w:right w:val="none" w:sz="0" w:space="0" w:color="auto"/>
      </w:divBdr>
      <w:divsChild>
        <w:div w:id="975181885">
          <w:marLeft w:val="1166"/>
          <w:marRight w:val="0"/>
          <w:marTop w:val="134"/>
          <w:marBottom w:val="0"/>
          <w:divBdr>
            <w:top w:val="none" w:sz="0" w:space="0" w:color="auto"/>
            <w:left w:val="none" w:sz="0" w:space="0" w:color="auto"/>
            <w:bottom w:val="none" w:sz="0" w:space="0" w:color="auto"/>
            <w:right w:val="none" w:sz="0" w:space="0" w:color="auto"/>
          </w:divBdr>
        </w:div>
        <w:div w:id="1839998383">
          <w:marLeft w:val="1166"/>
          <w:marRight w:val="0"/>
          <w:marTop w:val="134"/>
          <w:marBottom w:val="0"/>
          <w:divBdr>
            <w:top w:val="none" w:sz="0" w:space="0" w:color="auto"/>
            <w:left w:val="none" w:sz="0" w:space="0" w:color="auto"/>
            <w:bottom w:val="none" w:sz="0" w:space="0" w:color="auto"/>
            <w:right w:val="none" w:sz="0" w:space="0" w:color="auto"/>
          </w:divBdr>
        </w:div>
      </w:divsChild>
    </w:div>
    <w:div w:id="1518421963">
      <w:bodyDiv w:val="1"/>
      <w:marLeft w:val="0"/>
      <w:marRight w:val="0"/>
      <w:marTop w:val="0"/>
      <w:marBottom w:val="0"/>
      <w:divBdr>
        <w:top w:val="none" w:sz="0" w:space="0" w:color="auto"/>
        <w:left w:val="none" w:sz="0" w:space="0" w:color="auto"/>
        <w:bottom w:val="none" w:sz="0" w:space="0" w:color="auto"/>
        <w:right w:val="none" w:sz="0" w:space="0" w:color="auto"/>
      </w:divBdr>
      <w:divsChild>
        <w:div w:id="2045476612">
          <w:marLeft w:val="1166"/>
          <w:marRight w:val="0"/>
          <w:marTop w:val="134"/>
          <w:marBottom w:val="0"/>
          <w:divBdr>
            <w:top w:val="none" w:sz="0" w:space="0" w:color="auto"/>
            <w:left w:val="none" w:sz="0" w:space="0" w:color="auto"/>
            <w:bottom w:val="none" w:sz="0" w:space="0" w:color="auto"/>
            <w:right w:val="none" w:sz="0" w:space="0" w:color="auto"/>
          </w:divBdr>
        </w:div>
      </w:divsChild>
    </w:div>
    <w:div w:id="1571113645">
      <w:bodyDiv w:val="1"/>
      <w:marLeft w:val="0"/>
      <w:marRight w:val="0"/>
      <w:marTop w:val="0"/>
      <w:marBottom w:val="0"/>
      <w:divBdr>
        <w:top w:val="none" w:sz="0" w:space="0" w:color="auto"/>
        <w:left w:val="none" w:sz="0" w:space="0" w:color="auto"/>
        <w:bottom w:val="none" w:sz="0" w:space="0" w:color="auto"/>
        <w:right w:val="none" w:sz="0" w:space="0" w:color="auto"/>
      </w:divBdr>
      <w:divsChild>
        <w:div w:id="1440755353">
          <w:marLeft w:val="1166"/>
          <w:marRight w:val="0"/>
          <w:marTop w:val="134"/>
          <w:marBottom w:val="0"/>
          <w:divBdr>
            <w:top w:val="none" w:sz="0" w:space="0" w:color="auto"/>
            <w:left w:val="none" w:sz="0" w:space="0" w:color="auto"/>
            <w:bottom w:val="none" w:sz="0" w:space="0" w:color="auto"/>
            <w:right w:val="none" w:sz="0" w:space="0" w:color="auto"/>
          </w:divBdr>
        </w:div>
        <w:div w:id="906185904">
          <w:marLeft w:val="1800"/>
          <w:marRight w:val="0"/>
          <w:marTop w:val="134"/>
          <w:marBottom w:val="0"/>
          <w:divBdr>
            <w:top w:val="none" w:sz="0" w:space="0" w:color="auto"/>
            <w:left w:val="none" w:sz="0" w:space="0" w:color="auto"/>
            <w:bottom w:val="none" w:sz="0" w:space="0" w:color="auto"/>
            <w:right w:val="none" w:sz="0" w:space="0" w:color="auto"/>
          </w:divBdr>
        </w:div>
        <w:div w:id="414783348">
          <w:marLeft w:val="1800"/>
          <w:marRight w:val="0"/>
          <w:marTop w:val="134"/>
          <w:marBottom w:val="0"/>
          <w:divBdr>
            <w:top w:val="none" w:sz="0" w:space="0" w:color="auto"/>
            <w:left w:val="none" w:sz="0" w:space="0" w:color="auto"/>
            <w:bottom w:val="none" w:sz="0" w:space="0" w:color="auto"/>
            <w:right w:val="none" w:sz="0" w:space="0" w:color="auto"/>
          </w:divBdr>
        </w:div>
      </w:divsChild>
    </w:div>
    <w:div w:id="1646353576">
      <w:bodyDiv w:val="1"/>
      <w:marLeft w:val="0"/>
      <w:marRight w:val="0"/>
      <w:marTop w:val="0"/>
      <w:marBottom w:val="0"/>
      <w:divBdr>
        <w:top w:val="none" w:sz="0" w:space="0" w:color="auto"/>
        <w:left w:val="none" w:sz="0" w:space="0" w:color="auto"/>
        <w:bottom w:val="none" w:sz="0" w:space="0" w:color="auto"/>
        <w:right w:val="none" w:sz="0" w:space="0" w:color="auto"/>
      </w:divBdr>
      <w:divsChild>
        <w:div w:id="1424499076">
          <w:marLeft w:val="1166"/>
          <w:marRight w:val="0"/>
          <w:marTop w:val="115"/>
          <w:marBottom w:val="0"/>
          <w:divBdr>
            <w:top w:val="none" w:sz="0" w:space="0" w:color="auto"/>
            <w:left w:val="none" w:sz="0" w:space="0" w:color="auto"/>
            <w:bottom w:val="none" w:sz="0" w:space="0" w:color="auto"/>
            <w:right w:val="none" w:sz="0" w:space="0" w:color="auto"/>
          </w:divBdr>
        </w:div>
      </w:divsChild>
    </w:div>
    <w:div w:id="1728334578">
      <w:bodyDiv w:val="1"/>
      <w:marLeft w:val="0"/>
      <w:marRight w:val="0"/>
      <w:marTop w:val="0"/>
      <w:marBottom w:val="0"/>
      <w:divBdr>
        <w:top w:val="none" w:sz="0" w:space="0" w:color="auto"/>
        <w:left w:val="none" w:sz="0" w:space="0" w:color="auto"/>
        <w:bottom w:val="none" w:sz="0" w:space="0" w:color="auto"/>
        <w:right w:val="none" w:sz="0" w:space="0" w:color="auto"/>
      </w:divBdr>
      <w:divsChild>
        <w:div w:id="93305340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6</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24</cp:revision>
  <dcterms:created xsi:type="dcterms:W3CDTF">2011-03-03T22:50:00Z</dcterms:created>
  <dcterms:modified xsi:type="dcterms:W3CDTF">2011-03-15T20:27:00Z</dcterms:modified>
</cp:coreProperties>
</file>